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F04" w:rsidRPr="00E547C3" w:rsidRDefault="00697323" w:rsidP="007B3F04">
      <w:pPr>
        <w:spacing w:after="120" w:line="312" w:lineRule="auto"/>
        <w:ind w:firstLine="720"/>
        <w:jc w:val="both"/>
        <w:rPr>
          <w:rFonts w:asciiTheme="minorHAnsi" w:hAnsiTheme="minorHAnsi" w:cstheme="minorHAnsi"/>
        </w:rPr>
      </w:pPr>
      <w:r w:rsidRPr="00A16167">
        <w:rPr>
          <w:rFonts w:asciiTheme="minorHAnsi" w:hAnsiTheme="minorHAnsi" w:cstheme="minorHAnsi"/>
          <w:b/>
        </w:rPr>
        <w:t xml:space="preserve"> </w:t>
      </w:r>
      <w:r w:rsidR="007B3F04" w:rsidRPr="00F16A53">
        <w:rPr>
          <w:rFonts w:asciiTheme="minorHAnsi" w:hAnsiTheme="minorHAnsi" w:cstheme="minorHAnsi"/>
          <w:b/>
        </w:rPr>
        <w:t xml:space="preserve">  </w:t>
      </w:r>
      <w:r w:rsidR="007B3F04" w:rsidRPr="00F16A53">
        <w:rPr>
          <w:rFonts w:asciiTheme="minorHAnsi" w:hAnsiTheme="minorHAnsi" w:cstheme="minorHAnsi"/>
          <w:b/>
          <w:lang w:val="en-US"/>
        </w:rPr>
        <w:object w:dxaOrig="839" w:dyaOrig="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40.2pt" o:ole="" fillcolor="window">
            <v:imagedata r:id="rId8" o:title=""/>
          </v:shape>
          <o:OLEObject Type="Embed" ProgID="Word.Picture.8" ShapeID="_x0000_i1025" DrawAspect="Content" ObjectID="_1505555322" r:id="rId9"/>
        </w:object>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r>
      <w:r w:rsidR="007B3F04" w:rsidRPr="00F16A53">
        <w:rPr>
          <w:rFonts w:asciiTheme="minorHAnsi" w:hAnsiTheme="minorHAnsi" w:cstheme="minorHAnsi"/>
        </w:rPr>
        <w:tab/>
        <w:t xml:space="preserve"> </w:t>
      </w:r>
      <w:r w:rsidR="007B3F04" w:rsidRPr="00F16A53">
        <w:rPr>
          <w:rFonts w:asciiTheme="minorHAnsi" w:hAnsiTheme="minorHAnsi" w:cstheme="minorHAnsi"/>
          <w:b/>
        </w:rPr>
        <w:t>ΣΧΕΔΙΟ</w:t>
      </w:r>
    </w:p>
    <w:p w:rsidR="007B3F04" w:rsidRPr="00F16A53" w:rsidRDefault="007B3F04" w:rsidP="007B3F04">
      <w:pPr>
        <w:spacing w:after="0"/>
        <w:jc w:val="both"/>
        <w:rPr>
          <w:rFonts w:asciiTheme="minorHAnsi" w:hAnsiTheme="minorHAnsi" w:cstheme="minorHAnsi"/>
        </w:rPr>
      </w:pPr>
      <w:r w:rsidRPr="00F16A53">
        <w:rPr>
          <w:rFonts w:asciiTheme="minorHAnsi" w:hAnsiTheme="minorHAnsi" w:cstheme="minorHAnsi"/>
        </w:rPr>
        <w:t>ΕΛΛΗΝΙΚΗ ΔΗΜΟΚΡΑΤΙΑ</w:t>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t xml:space="preserve">Αγία Παρασκευή </w:t>
      </w:r>
      <w:r w:rsidR="00642EEE">
        <w:rPr>
          <w:rFonts w:asciiTheme="minorHAnsi" w:hAnsiTheme="minorHAnsi" w:cstheme="minorHAnsi"/>
        </w:rPr>
        <w:t>….</w:t>
      </w:r>
      <w:r w:rsidRPr="00F16A53">
        <w:rPr>
          <w:rFonts w:asciiTheme="minorHAnsi" w:hAnsiTheme="minorHAnsi" w:cstheme="minorHAnsi"/>
        </w:rPr>
        <w:t xml:space="preserve"> /</w:t>
      </w:r>
      <w:r w:rsidR="008A0280">
        <w:rPr>
          <w:rFonts w:asciiTheme="minorHAnsi" w:hAnsiTheme="minorHAnsi" w:cstheme="minorHAnsi"/>
        </w:rPr>
        <w:t xml:space="preserve"> </w:t>
      </w:r>
      <w:r w:rsidR="00DC5E3F">
        <w:rPr>
          <w:rFonts w:asciiTheme="minorHAnsi" w:hAnsiTheme="minorHAnsi" w:cstheme="minorHAnsi"/>
        </w:rPr>
        <w:t>……</w:t>
      </w:r>
      <w:r w:rsidRPr="00F16A53">
        <w:rPr>
          <w:rFonts w:asciiTheme="minorHAnsi" w:hAnsiTheme="minorHAnsi" w:cstheme="minorHAnsi"/>
        </w:rPr>
        <w:t xml:space="preserve"> / 201</w:t>
      </w:r>
      <w:r w:rsidR="00DC5E3F">
        <w:rPr>
          <w:rFonts w:asciiTheme="minorHAnsi" w:hAnsiTheme="minorHAnsi" w:cstheme="minorHAnsi"/>
        </w:rPr>
        <w:t>5</w:t>
      </w:r>
    </w:p>
    <w:p w:rsidR="007B3F04" w:rsidRPr="00F16A53" w:rsidRDefault="007B3F04" w:rsidP="007B3F04">
      <w:pPr>
        <w:spacing w:after="0"/>
        <w:jc w:val="both"/>
        <w:rPr>
          <w:rFonts w:asciiTheme="minorHAnsi" w:hAnsiTheme="minorHAnsi" w:cstheme="minorHAnsi"/>
        </w:rPr>
      </w:pPr>
      <w:r w:rsidRPr="00F16A53">
        <w:rPr>
          <w:rFonts w:asciiTheme="minorHAnsi" w:hAnsiTheme="minorHAnsi" w:cstheme="minorHAnsi"/>
        </w:rPr>
        <w:t>ΝΟΜΟΣ ΑΤΤΙΚΗΣ</w:t>
      </w:r>
    </w:p>
    <w:p w:rsidR="007B3F04" w:rsidRPr="00AE2F71" w:rsidRDefault="007B3F04" w:rsidP="007B3F04">
      <w:pPr>
        <w:spacing w:after="0"/>
        <w:jc w:val="both"/>
        <w:rPr>
          <w:rFonts w:asciiTheme="minorHAnsi" w:hAnsiTheme="minorHAnsi" w:cstheme="minorHAnsi"/>
        </w:rPr>
      </w:pPr>
      <w:r w:rsidRPr="00F16A53">
        <w:rPr>
          <w:rFonts w:asciiTheme="minorHAnsi" w:hAnsiTheme="minorHAnsi" w:cstheme="minorHAnsi"/>
        </w:rPr>
        <w:t>ΔΗΜΟΣ ΑΓΙΑΣ ΠΑΡΑΣΚΕΥΗΣ</w:t>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r>
      <w:r w:rsidRPr="00F16A53">
        <w:rPr>
          <w:rFonts w:asciiTheme="minorHAnsi" w:hAnsiTheme="minorHAnsi" w:cstheme="minorHAnsi"/>
        </w:rPr>
        <w:tab/>
        <w:t xml:space="preserve">Αρ. </w:t>
      </w:r>
      <w:proofErr w:type="spellStart"/>
      <w:r w:rsidRPr="00F16A53">
        <w:rPr>
          <w:rFonts w:asciiTheme="minorHAnsi" w:hAnsiTheme="minorHAnsi" w:cstheme="minorHAnsi"/>
        </w:rPr>
        <w:t>Πρωτ</w:t>
      </w:r>
      <w:proofErr w:type="spellEnd"/>
      <w:r w:rsidRPr="00F16A53">
        <w:rPr>
          <w:rFonts w:asciiTheme="minorHAnsi" w:hAnsiTheme="minorHAnsi" w:cstheme="minorHAnsi"/>
        </w:rPr>
        <w:t xml:space="preserve">. </w:t>
      </w:r>
      <w:r w:rsidR="008A0280">
        <w:rPr>
          <w:rFonts w:asciiTheme="minorHAnsi" w:hAnsiTheme="minorHAnsi" w:cstheme="minorHAnsi"/>
        </w:rPr>
        <w:t>………</w:t>
      </w:r>
    </w:p>
    <w:p w:rsidR="007B3F04" w:rsidRPr="00F16A53" w:rsidRDefault="007B3F04" w:rsidP="007B3F04">
      <w:pPr>
        <w:spacing w:after="0"/>
        <w:jc w:val="both"/>
        <w:rPr>
          <w:rFonts w:asciiTheme="minorHAnsi" w:hAnsiTheme="minorHAnsi" w:cstheme="minorHAnsi"/>
        </w:rPr>
      </w:pPr>
      <w:r w:rsidRPr="00F16A53">
        <w:rPr>
          <w:rFonts w:asciiTheme="minorHAnsi" w:hAnsiTheme="minorHAnsi" w:cstheme="minorHAnsi"/>
        </w:rPr>
        <w:t>ΔΙΕΥΘΥΝΣΗ ΟΙΚΟΝΟΜΙΚΩΝ ΥΠΗΡΕΣΙΩΝ</w:t>
      </w:r>
    </w:p>
    <w:p w:rsidR="000E667E" w:rsidRDefault="000E667E" w:rsidP="000E667E">
      <w:pPr>
        <w:spacing w:after="0"/>
        <w:ind w:firstLine="5103"/>
      </w:pPr>
    </w:p>
    <w:p w:rsidR="004B45D3" w:rsidRDefault="004B45D3" w:rsidP="000E667E">
      <w:pPr>
        <w:spacing w:after="0"/>
        <w:ind w:firstLine="5103"/>
      </w:pPr>
    </w:p>
    <w:p w:rsidR="007B3F04" w:rsidRPr="000E667E" w:rsidRDefault="004B45D3" w:rsidP="004B45D3">
      <w:pPr>
        <w:spacing w:after="0"/>
        <w:ind w:firstLine="3544"/>
      </w:pPr>
      <w:r w:rsidRPr="004B45D3">
        <w:t>Προς τον Πρόεδρο του Δημοτικού Συμβουλίου</w:t>
      </w:r>
    </w:p>
    <w:p w:rsidR="007B3F04" w:rsidRPr="000E667E" w:rsidRDefault="007B3F04" w:rsidP="007B3F04">
      <w:pPr>
        <w:spacing w:after="0"/>
        <w:rPr>
          <w:b/>
        </w:rPr>
      </w:pPr>
    </w:p>
    <w:p w:rsidR="004D245C" w:rsidRDefault="004D245C" w:rsidP="007B3F04">
      <w:pPr>
        <w:spacing w:after="0"/>
        <w:rPr>
          <w:b/>
        </w:rPr>
      </w:pPr>
      <w:r w:rsidRPr="004D245C">
        <w:rPr>
          <w:b/>
        </w:rPr>
        <w:t>ΘΕΜΑ</w:t>
      </w:r>
      <w:r w:rsidR="007B3F04">
        <w:rPr>
          <w:b/>
        </w:rPr>
        <w:t xml:space="preserve"> : </w:t>
      </w:r>
      <w:r w:rsidRPr="004D245C">
        <w:rPr>
          <w:b/>
        </w:rPr>
        <w:t>«</w:t>
      </w:r>
      <w:r w:rsidR="007C7472" w:rsidRPr="007C7472">
        <w:rPr>
          <w:b/>
        </w:rPr>
        <w:t>Έγκριση τριμηνιαίας έκθεσης</w:t>
      </w:r>
      <w:r w:rsidR="00562986">
        <w:rPr>
          <w:b/>
        </w:rPr>
        <w:t xml:space="preserve">  αποτελεσμάτων Προϋπολογισμού </w:t>
      </w:r>
      <w:r w:rsidR="00996E50">
        <w:rPr>
          <w:b/>
        </w:rPr>
        <w:t>Β</w:t>
      </w:r>
      <w:r w:rsidR="007C7472" w:rsidRPr="007C7472">
        <w:rPr>
          <w:b/>
        </w:rPr>
        <w:t>’ τριμήνου οικ. έτους 201</w:t>
      </w:r>
      <w:r w:rsidR="00562986">
        <w:rPr>
          <w:b/>
        </w:rPr>
        <w:t>5</w:t>
      </w:r>
      <w:r w:rsidR="007C7472" w:rsidRPr="007C7472">
        <w:rPr>
          <w:b/>
        </w:rPr>
        <w:t xml:space="preserve"> του Δήμου Αγίας Παρασκευής.</w:t>
      </w:r>
      <w:r w:rsidRPr="004D245C">
        <w:rPr>
          <w:b/>
        </w:rPr>
        <w:t>».</w:t>
      </w:r>
    </w:p>
    <w:p w:rsidR="004B45D3" w:rsidRPr="004B45D3" w:rsidRDefault="004B45D3" w:rsidP="004B45D3">
      <w:pPr>
        <w:spacing w:after="0"/>
        <w:jc w:val="both"/>
        <w:rPr>
          <w:sz w:val="16"/>
          <w:szCs w:val="16"/>
        </w:rPr>
      </w:pPr>
    </w:p>
    <w:p w:rsidR="00181059" w:rsidRDefault="002129D8" w:rsidP="00F80F5D">
      <w:pPr>
        <w:spacing w:after="0" w:line="360" w:lineRule="auto"/>
        <w:jc w:val="both"/>
      </w:pPr>
      <w:r>
        <w:t>Στα πλαίσια του ελέγχου της υλοποίησης του</w:t>
      </w:r>
      <w:r w:rsidRPr="002129D8">
        <w:t xml:space="preserve"> </w:t>
      </w:r>
      <w:r>
        <w:t>π</w:t>
      </w:r>
      <w:r w:rsidRPr="002129D8">
        <w:t>ροϋπολογισμού του Δήμου οικ. έτους 201</w:t>
      </w:r>
      <w:r w:rsidR="00562986">
        <w:t>5</w:t>
      </w:r>
      <w:r w:rsidRPr="002129D8">
        <w:t xml:space="preserve"> </w:t>
      </w:r>
      <w:r>
        <w:t>και</w:t>
      </w:r>
      <w:r w:rsidR="00181059">
        <w:t xml:space="preserve"> έχοντας υπόψη:  </w:t>
      </w:r>
    </w:p>
    <w:p w:rsidR="004D245C" w:rsidRPr="00E81D83" w:rsidRDefault="004D245C" w:rsidP="00F80F5D">
      <w:pPr>
        <w:pStyle w:val="a3"/>
        <w:numPr>
          <w:ilvl w:val="0"/>
          <w:numId w:val="1"/>
        </w:numPr>
        <w:spacing w:after="0" w:line="360" w:lineRule="auto"/>
        <w:jc w:val="both"/>
      </w:pPr>
      <w:r>
        <w:t>Την παρ. 1β του άρθρου 72 του Ν. 3852/2010 (ΦΕΚ 87/Α΄/7-6-2010)σύμφωνα με την οποία «η οικονομική επιτροπή ελέγχει την υλοποίηση του προϋπολογισμού και υποβάλλει ανά τρίμηνο έκθεση προς το δημοτικό συμβούλιο, στην οποία παρουσιάζεται η κατάσταση των εσόδων και εξόδων του δήμου. Η</w:t>
      </w:r>
      <w:r w:rsidR="00614A4F">
        <w:t xml:space="preserve"> </w:t>
      </w:r>
      <w:r>
        <w:t xml:space="preserve">έκθεση αυτή στην </w:t>
      </w:r>
      <w:r w:rsidR="00614A4F">
        <w:t xml:space="preserve">  </w:t>
      </w:r>
      <w:r>
        <w:t>οποία καταχωρούνται και τυχόν παρατηρήσεις της μειοψηφίας, δημοσιεύεται</w:t>
      </w:r>
      <w:r w:rsidR="00614A4F">
        <w:t xml:space="preserve"> </w:t>
      </w:r>
      <w:r w:rsidRPr="00E81D83">
        <w:t xml:space="preserve">υποχρεωτικά στην ιστοσελίδα </w:t>
      </w:r>
      <w:r w:rsidR="00614A4F">
        <w:t xml:space="preserve">  </w:t>
      </w:r>
      <w:r w:rsidRPr="00E81D83">
        <w:t>του δήμου».</w:t>
      </w:r>
    </w:p>
    <w:p w:rsidR="004D245C" w:rsidRDefault="004D245C" w:rsidP="00F80F5D">
      <w:pPr>
        <w:pStyle w:val="a3"/>
        <w:numPr>
          <w:ilvl w:val="0"/>
          <w:numId w:val="1"/>
        </w:numPr>
        <w:spacing w:after="0" w:line="360" w:lineRule="auto"/>
        <w:jc w:val="both"/>
      </w:pPr>
      <w:r>
        <w:t>Τις διατάξεις των παρ. 9 του άρθρου 266 και 10 του άρθρου 268 του Ν.3852/2010 (ΦΕΚ 87/Α΄/7-6-2010) όπως αντικαταστάθηκαν με τα άρθρα 39 και 40 του Ν.4257/2014 (ΦΕΚ93/Α΄/14-4-2014).</w:t>
      </w:r>
    </w:p>
    <w:p w:rsidR="004D245C" w:rsidRDefault="004D245C" w:rsidP="00F80F5D">
      <w:pPr>
        <w:pStyle w:val="a3"/>
        <w:numPr>
          <w:ilvl w:val="0"/>
          <w:numId w:val="1"/>
        </w:numPr>
        <w:spacing w:after="0" w:line="360" w:lineRule="auto"/>
        <w:jc w:val="both"/>
      </w:pPr>
      <w:r>
        <w:t>Τις διατάξεις του της παρ. 4.α. του άρθρου 43 του Ν. 3979/2011 (ΦΕΚ 138/Α΄/16-6-2011) που συμπληρώνουν τις διατάξεις των παρ. 9 και 10 των άρθρων 266 και 268 αντίστοιχα του Ν.3852/2010 (ΦΕΚ 87/Α΄/7-6-2010).</w:t>
      </w:r>
    </w:p>
    <w:p w:rsidR="004D245C" w:rsidRDefault="004D245C" w:rsidP="00F80F5D">
      <w:pPr>
        <w:pStyle w:val="a3"/>
        <w:numPr>
          <w:ilvl w:val="0"/>
          <w:numId w:val="1"/>
        </w:numPr>
        <w:spacing w:after="0" w:line="360" w:lineRule="auto"/>
        <w:jc w:val="both"/>
      </w:pPr>
      <w:r>
        <w:t>Τις διατάξεις των άρθρων 39 και 40 του Ν.4257/2014 (ΦΕΚ93/Α΄/14-4-2014) σύμφωνα με τις οποίες «Η οικονομική επιτροπή, έπειτα από εισήγηση του υπεύθυνου των οικονομικών υπηρεσιών του οικείου Δήμου, μετά τη λήξη κάθε τριμήνου υποβάλλει στο δημοτικό συμβούλιο έκθεση για τα αποτελέσματα εκτέλεσης</w:t>
      </w:r>
      <w:r w:rsidR="00F80F5D">
        <w:t xml:space="preserve"> </w:t>
      </w:r>
      <w:r>
        <w:t xml:space="preserve">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w:t>
      </w:r>
      <w:proofErr w:type="spellStart"/>
      <w:r>
        <w:t>συννημένων</w:t>
      </w:r>
      <w:proofErr w:type="spellEnd"/>
      <w:r>
        <w:t xml:space="preserve"> της υποβάλλεται στο δημοτικό συμβούλιο εντός προθεσμίας τριάντα (30) ημερών από τη λήξη κάθε τριμήνου. Εάν, με την ανωτέρω έκθεση του δευτέρου και </w:t>
      </w:r>
      <w:r w:rsidR="007F0DB1">
        <w:t>τ</w:t>
      </w:r>
      <w:r>
        <w:t>ρίτου τριμήνου κάθε οικονομικού έτους, διαπιστωθεί από την οικονομική επιτροπή, σύμφωνα με την</w:t>
      </w:r>
      <w:r w:rsidR="00F80F5D">
        <w:t xml:space="preserve"> </w:t>
      </w:r>
      <w:r>
        <w:t>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w:t>
      </w:r>
    </w:p>
    <w:p w:rsidR="004D245C" w:rsidRDefault="007F0DB1" w:rsidP="00B31545">
      <w:pPr>
        <w:spacing w:after="0" w:line="360" w:lineRule="auto"/>
        <w:jc w:val="both"/>
      </w:pPr>
      <w:r>
        <w:t xml:space="preserve">        </w:t>
      </w:r>
      <w:r w:rsidR="004D245C">
        <w:t>Σε περιπτώσεις όπου από την έκθεση προκύπτει ότι δεν απαιτείται</w:t>
      </w:r>
      <w:r>
        <w:t xml:space="preserve"> </w:t>
      </w:r>
      <w:r w:rsidR="004D245C">
        <w:t>αναμόρφωση του προϋπολογισμού, αυτό διαπιστώνεται από το δημοτικό συμβούλιο</w:t>
      </w:r>
      <w:r>
        <w:t xml:space="preserve"> </w:t>
      </w:r>
      <w:r w:rsidR="004D245C">
        <w:t>με απόφασή του που λαμβάνεται εντός της ίδιας προθεσμίας, δυνάμενο αυτό να</w:t>
      </w:r>
      <w:r>
        <w:t xml:space="preserve"> </w:t>
      </w:r>
      <w:r w:rsidR="004D245C">
        <w:t>προβεί σε αναμόρφωσή του για τους λόγους που αναφέρονται στο προηγούμενο</w:t>
      </w:r>
      <w:r w:rsidR="00B31545">
        <w:t xml:space="preserve"> </w:t>
      </w:r>
      <w:r w:rsidR="004D245C">
        <w:t>εδάφιο.</w:t>
      </w:r>
    </w:p>
    <w:p w:rsidR="004D245C" w:rsidRDefault="007F0DB1" w:rsidP="004F7D99">
      <w:pPr>
        <w:spacing w:after="0" w:line="360" w:lineRule="auto"/>
        <w:jc w:val="both"/>
      </w:pPr>
      <w:r>
        <w:t xml:space="preserve">        </w:t>
      </w:r>
      <w:r w:rsidR="004D245C">
        <w:t>Οι ανωτέρω αποφάσεις υποβάλλονται στον Ελεγκτή Νομιμότητας για έλεγχο.</w:t>
      </w:r>
      <w:r>
        <w:t xml:space="preserve"> </w:t>
      </w:r>
      <w:r w:rsidR="004D245C">
        <w:t>Η έκθεση, μετά των συνημμένων της και η απόφαση του δημοτικού συμβουλίου</w:t>
      </w:r>
      <w:r>
        <w:t xml:space="preserve"> </w:t>
      </w:r>
      <w:r w:rsidR="004D245C">
        <w:t>αναρτώνται στην ιστοσελίδα του οικείου Δήμου και στο διαδίκτυο, σύμφωνα με τα</w:t>
      </w:r>
      <w:r>
        <w:t xml:space="preserve"> </w:t>
      </w:r>
      <w:r w:rsidR="004D245C">
        <w:t>οριζόμενα στον Ν. 3861/2010 («Πρόγραμμα Διαύγεια»),</w:t>
      </w:r>
      <w:r>
        <w:t xml:space="preserve"> </w:t>
      </w:r>
      <w:r w:rsidR="004D245C">
        <w:t>γνωστοποιούμενοι οι</w:t>
      </w:r>
      <w:r>
        <w:t xml:space="preserve"> </w:t>
      </w:r>
      <w:r w:rsidR="004D245C">
        <w:t>σχετικοί αριθμοί διαδικτυακής ανάρτησης (ΑΔΑ) στον Ελεγκτή Νομιμότητας και</w:t>
      </w:r>
      <w:r w:rsidR="004F7D99">
        <w:t xml:space="preserve"> </w:t>
      </w:r>
      <w:r w:rsidR="004D245C">
        <w:t>στην οικεία υπηρεσία Επιτρόπου για την εφαρμογή των διατάξεων του άρθρου 277</w:t>
      </w:r>
      <w:r>
        <w:t xml:space="preserve"> </w:t>
      </w:r>
      <w:r w:rsidR="004D245C">
        <w:t>του Ν.3852/2010.</w:t>
      </w:r>
    </w:p>
    <w:p w:rsidR="004D245C" w:rsidRDefault="007F0DB1" w:rsidP="00F80F5D">
      <w:pPr>
        <w:spacing w:after="0" w:line="360" w:lineRule="auto"/>
        <w:jc w:val="both"/>
      </w:pPr>
      <w:r>
        <w:t xml:space="preserve">        </w:t>
      </w:r>
      <w:r w:rsidR="004D245C">
        <w:t>Τα στοιχεία που πρέπει να περιλαμβάνονται στην έκθεση ή και να τη</w:t>
      </w:r>
      <w:r>
        <w:t xml:space="preserve"> </w:t>
      </w:r>
      <w:r w:rsidR="004D245C">
        <w:t xml:space="preserve">συνοδεύουν, καθώς και κάθε άλλο θέμα για την εφαρμογή της παραγράφου </w:t>
      </w:r>
      <w:r>
        <w:t xml:space="preserve">αυτής </w:t>
      </w:r>
      <w:r w:rsidR="004D245C">
        <w:t>καθορίζονται με απόφαση του Υπουργού Εσωτερικών».</w:t>
      </w:r>
    </w:p>
    <w:p w:rsidR="007F0DB1" w:rsidRDefault="004D245C" w:rsidP="00F80F5D">
      <w:pPr>
        <w:pStyle w:val="a3"/>
        <w:numPr>
          <w:ilvl w:val="0"/>
          <w:numId w:val="1"/>
        </w:numPr>
        <w:tabs>
          <w:tab w:val="left" w:pos="426"/>
        </w:tabs>
        <w:spacing w:after="0" w:line="360" w:lineRule="auto"/>
        <w:jc w:val="both"/>
      </w:pPr>
      <w:r>
        <w:t>Την υπ’ αριθ. 40038/9-9-2011 (ΦΕΚ 2007/Β΄/9-9-2011) απόφαση του</w:t>
      </w:r>
      <w:r w:rsidR="007F0DB1">
        <w:t xml:space="preserve"> </w:t>
      </w:r>
      <w:r>
        <w:t>Υπουργού Εσωτερικών με θέμα «Καθορισμός των στοιχείων τα οποία</w:t>
      </w:r>
      <w:r w:rsidR="007F0DB1">
        <w:t xml:space="preserve"> </w:t>
      </w:r>
      <w:r>
        <w:t>περιλαμβάνονται στην έκθεση αποτελεσμάτων εκτέλεσης του</w:t>
      </w:r>
      <w:r w:rsidR="007F0DB1">
        <w:t xml:space="preserve"> </w:t>
      </w:r>
      <w:r>
        <w:t>προϋπολογισμού των</w:t>
      </w:r>
      <w:r w:rsidR="007F0DB1">
        <w:t xml:space="preserve"> </w:t>
      </w:r>
      <w:r>
        <w:t>Δήμων και περιφερειών», σύμφωνα με την οποία «1.Καθορίζονται τα στοιχεία που</w:t>
      </w:r>
      <w:r w:rsidR="004F7D99">
        <w:t xml:space="preserve"> </w:t>
      </w:r>
      <w:r>
        <w:t>περιλαμβάνονται στην τριμηνιαία έκθεση, ως προς τα αποτελέσματα εκτέλεσης του</w:t>
      </w:r>
      <w:r w:rsidR="007F0DB1">
        <w:t xml:space="preserve"> </w:t>
      </w:r>
      <w:r>
        <w:t>προϋπολογισμού, που υποβάλλεται στο δημοτικό ή περιφερειακό συμβούλιο από την</w:t>
      </w:r>
      <w:r w:rsidR="007F0DB1">
        <w:t xml:space="preserve"> </w:t>
      </w:r>
      <w:r>
        <w:t>οικονομική επιτροπή, μετά από εισήγηση του υπεύθυνου οικονομικών υπηρεσιών</w:t>
      </w:r>
      <w:r w:rsidR="007F0DB1">
        <w:t xml:space="preserve"> </w:t>
      </w:r>
      <w:r>
        <w:t>του οικείου Δήμου ή της οικείας περιφέρειας, αντίστοιχα. 2. Η τριμηνιαία έκθεση</w:t>
      </w:r>
      <w:r w:rsidR="007F0DB1">
        <w:t xml:space="preserve"> </w:t>
      </w:r>
      <w:r>
        <w:t xml:space="preserve">των </w:t>
      </w:r>
      <w:r>
        <w:lastRenderedPageBreak/>
        <w:t>αποτελεσμάτων εκτέλεσης του προϋπολογισμού των δήμων, συντάσσεται</w:t>
      </w:r>
      <w:r w:rsidR="007F0DB1">
        <w:t xml:space="preserve"> </w:t>
      </w:r>
      <w:r>
        <w:t>σύμφωνα με τα Υποδείγματα 1 έως 3, που επισυνάπτονται στην παρούσα απόφαση</w:t>
      </w:r>
      <w:r w:rsidR="007F0DB1">
        <w:t xml:space="preserve"> </w:t>
      </w:r>
      <w:r>
        <w:t xml:space="preserve">και αποτελούν αναπόσπαστο μέρος </w:t>
      </w:r>
      <w:r w:rsidR="007F0DB1">
        <w:t xml:space="preserve"> </w:t>
      </w:r>
    </w:p>
    <w:p w:rsidR="004D245C" w:rsidRDefault="007F0DB1" w:rsidP="00F80F5D">
      <w:pPr>
        <w:tabs>
          <w:tab w:val="left" w:pos="426"/>
        </w:tabs>
        <w:spacing w:after="0" w:line="360" w:lineRule="auto"/>
        <w:jc w:val="both"/>
      </w:pPr>
      <w:r>
        <w:t xml:space="preserve">         </w:t>
      </w:r>
      <w:r w:rsidR="004D245C">
        <w:t>αυτής».</w:t>
      </w:r>
    </w:p>
    <w:p w:rsidR="00D10022" w:rsidRDefault="00D10022" w:rsidP="00F80F5D">
      <w:pPr>
        <w:spacing w:after="0" w:line="360" w:lineRule="auto"/>
        <w:jc w:val="both"/>
      </w:pPr>
      <w:r>
        <w:t xml:space="preserve">Με βάση τα παραπάνω η οικονομική υπηρεσία του Δήμου αφού έλαβε υπόψη της: </w:t>
      </w:r>
    </w:p>
    <w:p w:rsidR="00CE2303" w:rsidRPr="00CE2303" w:rsidRDefault="00D10022" w:rsidP="00CE2303">
      <w:pPr>
        <w:pStyle w:val="a3"/>
        <w:numPr>
          <w:ilvl w:val="0"/>
          <w:numId w:val="2"/>
        </w:numPr>
        <w:spacing w:after="0" w:line="360" w:lineRule="auto"/>
        <w:ind w:left="426" w:hanging="426"/>
        <w:jc w:val="both"/>
      </w:pPr>
      <w:r w:rsidRPr="00CE2303">
        <w:t xml:space="preserve">την αριθ. </w:t>
      </w:r>
      <w:r w:rsidR="00CE2303" w:rsidRPr="00CE2303">
        <w:t xml:space="preserve">403/2014 </w:t>
      </w:r>
      <w:r w:rsidRPr="00CE2303">
        <w:t xml:space="preserve">απόφαση του Δημοτικού Συμβουλίου με την οποία ψηφίστηκε ο προϋπολογισμός </w:t>
      </w:r>
      <w:r w:rsidR="00CE2303" w:rsidRPr="00CE2303">
        <w:t xml:space="preserve">και η στοχοθεσία οικονομικών αποτελεσμάτων </w:t>
      </w:r>
      <w:r w:rsidRPr="00CE2303">
        <w:t xml:space="preserve">του έτους </w:t>
      </w:r>
      <w:r w:rsidR="007700FE" w:rsidRPr="00CE2303">
        <w:t>201</w:t>
      </w:r>
      <w:r w:rsidR="00CE2303" w:rsidRPr="00CE2303">
        <w:t>5</w:t>
      </w:r>
      <w:r w:rsidRPr="00CE2303">
        <w:t xml:space="preserve"> και εγκρίθηκε με την αριθ. </w:t>
      </w:r>
      <w:r w:rsidR="00CE2303" w:rsidRPr="00CE2303">
        <w:t>83245/54653/15-1-15</w:t>
      </w:r>
      <w:r w:rsidRPr="00CE2303">
        <w:t xml:space="preserve"> απόφαση του </w:t>
      </w:r>
      <w:r w:rsidR="007700FE" w:rsidRPr="00CE2303">
        <w:t>απόφαση   του   Γεν   Γραμματέα   Αποκεντρωμένης Διοίκησης Αττικής</w:t>
      </w:r>
      <w:r w:rsidRPr="00CE2303">
        <w:t xml:space="preserve"> </w:t>
      </w:r>
    </w:p>
    <w:p w:rsidR="001F5E4C" w:rsidRDefault="00D10022" w:rsidP="00F80F5D">
      <w:pPr>
        <w:pStyle w:val="a3"/>
        <w:numPr>
          <w:ilvl w:val="0"/>
          <w:numId w:val="2"/>
        </w:numPr>
        <w:spacing w:after="0" w:line="360" w:lineRule="auto"/>
        <w:ind w:left="426" w:hanging="426"/>
        <w:jc w:val="both"/>
      </w:pPr>
      <w:r>
        <w:t>τα έσοδα- έξοδα και γενικά τα οικονομικά δεδομένα, όπως αποτυπώνονται στα βιβλία και στοιχεία του δήμου</w:t>
      </w:r>
    </w:p>
    <w:p w:rsidR="00D10022" w:rsidRDefault="00D10022" w:rsidP="001F5E4C">
      <w:pPr>
        <w:pStyle w:val="a3"/>
        <w:spacing w:after="0" w:line="360" w:lineRule="auto"/>
        <w:ind w:left="426"/>
        <w:jc w:val="both"/>
      </w:pPr>
      <w:r>
        <w:t>εισηγούμαστε προς την οικονομική επιτροπή</w:t>
      </w:r>
      <w:r w:rsidR="00AC00B3">
        <w:t xml:space="preserve"> τα </w:t>
      </w:r>
      <w:r w:rsidR="00562986">
        <w:t>εξής</w:t>
      </w:r>
      <w:r w:rsidR="00D2210E">
        <w:t>:</w:t>
      </w:r>
    </w:p>
    <w:p w:rsidR="00C54A40" w:rsidRDefault="00D10022" w:rsidP="00F80F5D">
      <w:pPr>
        <w:spacing w:after="0" w:line="360" w:lineRule="auto"/>
        <w:jc w:val="both"/>
      </w:pPr>
      <w:r>
        <w:t>α. Τα στοιχεία που πρέπει περιλαμβάνονται στην τριμηνιαία έκθεση, ως προς τα αποτελέσματα εκτέλεσης του προϋπολογισμού, που υποβάλλεται στο δημοτικό συμβούλιο από την οικονομική επιτροπή, εμφανίζονται στους συνημμένους πίνακες, όπως έχουν συμπληρωθεί από την οικονομική υπηρεσία του Δήμου, με βάση  τα πραγματοποιηθέντα έσοδα- έξοδα και γενικά τα οικονομικά δεδομένα, όπως αποτυπώνονται στα βι</w:t>
      </w:r>
      <w:r w:rsidR="002E575E">
        <w:t>βλία και στοιχεία του δήμου.</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 xml:space="preserve">Συγκεκριμένα διαβιβάζονται στην οικονομική επιτροπή οι κάτωθι πίνακες: </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 xml:space="preserve">Πίνακας 1: Αποτελέσματα εκτέλεσης προϋπολογισμού εσόδων </w:t>
      </w:r>
      <w:r w:rsidR="00996E50">
        <w:rPr>
          <w:rFonts w:ascii="Calibri" w:hAnsi="Calibri" w:cs="Calibri"/>
          <w:color w:val="000000"/>
          <w:sz w:val="22"/>
          <w:szCs w:val="22"/>
          <w:shd w:val="clear" w:color="auto" w:fill="FFFFFF"/>
        </w:rPr>
        <w:t>Β</w:t>
      </w:r>
      <w:r>
        <w:rPr>
          <w:rFonts w:asciiTheme="minorHAnsi" w:hAnsiTheme="minorHAnsi" w:cstheme="minorHAnsi"/>
          <w:color w:val="000000"/>
          <w:sz w:val="22"/>
          <w:szCs w:val="22"/>
          <w:shd w:val="clear" w:color="auto" w:fill="FFFFFF"/>
        </w:rPr>
        <w:t>΄</w:t>
      </w:r>
      <w:r w:rsidRPr="00F80F5D">
        <w:rPr>
          <w:rFonts w:ascii="Calibri" w:hAnsi="Calibri" w:cs="Calibri"/>
          <w:color w:val="000000"/>
          <w:sz w:val="22"/>
          <w:szCs w:val="22"/>
          <w:shd w:val="clear" w:color="auto" w:fill="FFFFFF"/>
        </w:rPr>
        <w:t xml:space="preserve"> τριμήνου του έτους </w:t>
      </w:r>
      <w:r>
        <w:rPr>
          <w:rFonts w:asciiTheme="minorHAnsi" w:hAnsiTheme="minorHAnsi" w:cstheme="minorHAnsi"/>
          <w:color w:val="000000"/>
          <w:sz w:val="22"/>
          <w:szCs w:val="22"/>
          <w:shd w:val="clear" w:color="auto" w:fill="FFFFFF"/>
        </w:rPr>
        <w:t>201</w:t>
      </w:r>
      <w:r w:rsidR="00562986">
        <w:rPr>
          <w:rFonts w:asciiTheme="minorHAnsi" w:hAnsiTheme="minorHAnsi" w:cstheme="minorHAnsi"/>
          <w:color w:val="000000"/>
          <w:sz w:val="22"/>
          <w:szCs w:val="22"/>
          <w:shd w:val="clear" w:color="auto" w:fill="FFFFFF"/>
        </w:rPr>
        <w:t>5</w:t>
      </w:r>
      <w:r w:rsidRPr="00F80F5D">
        <w:rPr>
          <w:rFonts w:ascii="Calibri" w:hAnsi="Calibri" w:cs="Calibri"/>
          <w:color w:val="000000"/>
          <w:sz w:val="22"/>
          <w:szCs w:val="22"/>
          <w:shd w:val="clear" w:color="auto" w:fill="FFFFFF"/>
        </w:rPr>
        <w:t>.</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Πίνακας</w:t>
      </w:r>
      <w:r w:rsidR="004F7D99">
        <w:rPr>
          <w:rFonts w:asciiTheme="minorHAnsi" w:hAnsiTheme="minorHAnsi" w:cstheme="minorHAnsi"/>
          <w:color w:val="000000"/>
          <w:sz w:val="22"/>
          <w:szCs w:val="22"/>
          <w:shd w:val="clear" w:color="auto" w:fill="FFFFFF"/>
        </w:rPr>
        <w:t xml:space="preserve"> </w:t>
      </w:r>
      <w:r w:rsidRPr="00F80F5D">
        <w:rPr>
          <w:rFonts w:ascii="Calibri" w:hAnsi="Calibri" w:cs="Calibri"/>
          <w:color w:val="000000"/>
          <w:sz w:val="22"/>
          <w:szCs w:val="22"/>
          <w:shd w:val="clear" w:color="auto" w:fill="FFFFFF"/>
        </w:rPr>
        <w:t xml:space="preserve">2:Αποτελέσματα εκτέλεσης προϋπολογισμού δαπανών </w:t>
      </w:r>
      <w:proofErr w:type="spellStart"/>
      <w:r w:rsidR="00996E50">
        <w:rPr>
          <w:rFonts w:ascii="Calibri" w:hAnsi="Calibri" w:cs="Calibri"/>
          <w:color w:val="000000"/>
          <w:sz w:val="22"/>
          <w:szCs w:val="22"/>
          <w:shd w:val="clear" w:color="auto" w:fill="FFFFFF"/>
        </w:rPr>
        <w:t>Β</w:t>
      </w:r>
      <w:r>
        <w:rPr>
          <w:rFonts w:asciiTheme="minorHAnsi" w:hAnsiTheme="minorHAnsi" w:cstheme="minorHAnsi"/>
          <w:color w:val="000000"/>
          <w:sz w:val="22"/>
          <w:szCs w:val="22"/>
          <w:shd w:val="clear" w:color="auto" w:fill="FFFFFF"/>
        </w:rPr>
        <w:t>΄</w:t>
      </w:r>
      <w:r w:rsidRPr="00F80F5D">
        <w:rPr>
          <w:rFonts w:ascii="Calibri" w:hAnsi="Calibri" w:cs="Calibri"/>
          <w:color w:val="000000"/>
          <w:sz w:val="22"/>
          <w:szCs w:val="22"/>
          <w:shd w:val="clear" w:color="auto" w:fill="FFFFFF"/>
        </w:rPr>
        <w:t>τριμήνου</w:t>
      </w:r>
      <w:proofErr w:type="spellEnd"/>
      <w:r w:rsidRPr="00F80F5D">
        <w:rPr>
          <w:rFonts w:ascii="Calibri" w:hAnsi="Calibri" w:cs="Calibri"/>
          <w:color w:val="000000"/>
          <w:sz w:val="22"/>
          <w:szCs w:val="22"/>
          <w:shd w:val="clear" w:color="auto" w:fill="FFFFFF"/>
        </w:rPr>
        <w:t xml:space="preserve"> του έτους </w:t>
      </w:r>
      <w:r>
        <w:rPr>
          <w:rFonts w:asciiTheme="minorHAnsi" w:hAnsiTheme="minorHAnsi" w:cstheme="minorHAnsi"/>
          <w:color w:val="000000"/>
          <w:sz w:val="22"/>
          <w:szCs w:val="22"/>
          <w:shd w:val="clear" w:color="auto" w:fill="FFFFFF"/>
        </w:rPr>
        <w:t>201</w:t>
      </w:r>
      <w:r w:rsidR="00562986">
        <w:rPr>
          <w:rFonts w:asciiTheme="minorHAnsi" w:hAnsiTheme="minorHAnsi" w:cstheme="minorHAnsi"/>
          <w:color w:val="000000"/>
          <w:sz w:val="22"/>
          <w:szCs w:val="22"/>
          <w:shd w:val="clear" w:color="auto" w:fill="FFFFFF"/>
        </w:rPr>
        <w:t>5</w:t>
      </w:r>
      <w:r w:rsidRPr="00F80F5D">
        <w:rPr>
          <w:rFonts w:ascii="Calibri" w:hAnsi="Calibri" w:cs="Calibri"/>
          <w:color w:val="000000"/>
          <w:sz w:val="22"/>
          <w:szCs w:val="22"/>
          <w:shd w:val="clear" w:color="auto" w:fill="FFFFFF"/>
        </w:rPr>
        <w:t>.</w:t>
      </w:r>
    </w:p>
    <w:p w:rsidR="00F80F5D" w:rsidRPr="00F80F5D" w:rsidRDefault="00F80F5D" w:rsidP="00F80F5D">
      <w:pPr>
        <w:pStyle w:val="Web"/>
        <w:spacing w:before="0" w:beforeAutospacing="0" w:after="0" w:afterAutospacing="0" w:line="360" w:lineRule="auto"/>
        <w:jc w:val="both"/>
        <w:rPr>
          <w:rFonts w:ascii="Calibri" w:hAnsi="Calibri" w:cs="Calibri"/>
          <w:color w:val="000000"/>
          <w:sz w:val="22"/>
          <w:szCs w:val="22"/>
          <w:shd w:val="clear" w:color="auto" w:fill="FFFFFF"/>
        </w:rPr>
      </w:pPr>
      <w:r w:rsidRPr="00F80F5D">
        <w:rPr>
          <w:rFonts w:ascii="Calibri" w:hAnsi="Calibri" w:cs="Calibri"/>
          <w:color w:val="000000"/>
          <w:sz w:val="22"/>
          <w:szCs w:val="22"/>
          <w:shd w:val="clear" w:color="auto" w:fill="FFFFFF"/>
        </w:rPr>
        <w:t xml:space="preserve">Πίνακας 3: Στοιχεία ισολογισμού </w:t>
      </w:r>
      <w:r w:rsidR="00996E50">
        <w:rPr>
          <w:rFonts w:ascii="Calibri" w:hAnsi="Calibri" w:cs="Calibri"/>
          <w:color w:val="000000"/>
          <w:sz w:val="22"/>
          <w:szCs w:val="22"/>
          <w:shd w:val="clear" w:color="auto" w:fill="FFFFFF"/>
        </w:rPr>
        <w:t>Β</w:t>
      </w:r>
      <w:r>
        <w:rPr>
          <w:rFonts w:asciiTheme="minorHAnsi" w:hAnsiTheme="minorHAnsi" w:cstheme="minorHAnsi"/>
          <w:color w:val="000000"/>
          <w:sz w:val="22"/>
          <w:szCs w:val="22"/>
          <w:shd w:val="clear" w:color="auto" w:fill="FFFFFF"/>
        </w:rPr>
        <w:t>΄</w:t>
      </w:r>
      <w:r w:rsidRPr="00F80F5D">
        <w:rPr>
          <w:rFonts w:ascii="Calibri" w:hAnsi="Calibri" w:cs="Calibri"/>
          <w:color w:val="000000"/>
          <w:sz w:val="22"/>
          <w:szCs w:val="22"/>
          <w:shd w:val="clear" w:color="auto" w:fill="FFFFFF"/>
        </w:rPr>
        <w:t xml:space="preserve"> τριμήνου του έτους </w:t>
      </w:r>
      <w:r>
        <w:rPr>
          <w:rFonts w:asciiTheme="minorHAnsi" w:hAnsiTheme="minorHAnsi" w:cstheme="minorHAnsi"/>
          <w:color w:val="000000"/>
          <w:sz w:val="22"/>
          <w:szCs w:val="22"/>
          <w:shd w:val="clear" w:color="auto" w:fill="FFFFFF"/>
        </w:rPr>
        <w:t>201</w:t>
      </w:r>
      <w:r w:rsidR="00562986">
        <w:rPr>
          <w:rFonts w:asciiTheme="minorHAnsi" w:hAnsiTheme="minorHAnsi" w:cstheme="minorHAnsi"/>
          <w:color w:val="000000"/>
          <w:sz w:val="22"/>
          <w:szCs w:val="22"/>
          <w:shd w:val="clear" w:color="auto" w:fill="FFFFFF"/>
        </w:rPr>
        <w:t>5</w:t>
      </w:r>
      <w:r w:rsidRPr="00F80F5D">
        <w:rPr>
          <w:rFonts w:ascii="Calibri" w:hAnsi="Calibri" w:cs="Calibri"/>
          <w:color w:val="000000"/>
          <w:sz w:val="22"/>
          <w:szCs w:val="22"/>
          <w:shd w:val="clear" w:color="auto" w:fill="FFFFFF"/>
        </w:rPr>
        <w:t>.</w:t>
      </w:r>
    </w:p>
    <w:p w:rsidR="000C0723" w:rsidRDefault="000C0723" w:rsidP="00F80F5D">
      <w:pPr>
        <w:spacing w:after="0" w:line="360" w:lineRule="auto"/>
        <w:jc w:val="both"/>
      </w:pPr>
    </w:p>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Pr="000C0723" w:rsidRDefault="000C0723" w:rsidP="000C0723"/>
    <w:p w:rsidR="000C0723" w:rsidRDefault="000C0723" w:rsidP="000C0723">
      <w:pPr>
        <w:jc w:val="right"/>
      </w:pPr>
    </w:p>
    <w:p w:rsidR="000C0723" w:rsidRDefault="000C0723" w:rsidP="000C0723"/>
    <w:p w:rsidR="00B749D3" w:rsidRPr="000C0723" w:rsidRDefault="00B749D3" w:rsidP="000C0723">
      <w:pPr>
        <w:sectPr w:rsidR="00B749D3" w:rsidRPr="000C0723" w:rsidSect="00B64E4A">
          <w:footerReference w:type="default" r:id="rId10"/>
          <w:pgSz w:w="11906" w:h="16838"/>
          <w:pgMar w:top="1440" w:right="1797" w:bottom="284" w:left="1797" w:header="708" w:footer="0" w:gutter="0"/>
          <w:cols w:space="708"/>
          <w:docGrid w:linePitch="360"/>
        </w:sectPr>
      </w:pPr>
    </w:p>
    <w:tbl>
      <w:tblPr>
        <w:tblW w:w="12892" w:type="dxa"/>
        <w:tblInd w:w="108" w:type="dxa"/>
        <w:tblLook w:val="04A0"/>
      </w:tblPr>
      <w:tblGrid>
        <w:gridCol w:w="554"/>
        <w:gridCol w:w="5589"/>
        <w:gridCol w:w="1389"/>
        <w:gridCol w:w="1389"/>
        <w:gridCol w:w="1256"/>
        <w:gridCol w:w="1402"/>
        <w:gridCol w:w="819"/>
        <w:gridCol w:w="976"/>
      </w:tblGrid>
      <w:tr w:rsidR="00996E50" w:rsidRPr="00996E50" w:rsidTr="00996E50">
        <w:trPr>
          <w:trHeight w:val="300"/>
        </w:trPr>
        <w:tc>
          <w:tcPr>
            <w:tcW w:w="5996" w:type="dxa"/>
            <w:gridSpan w:val="2"/>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lastRenderedPageBreak/>
              <w:t xml:space="preserve">ΕΛΛΗΝΙΚΗ ΔΗΜΟΚΡΑΤΙΑ </w:t>
            </w: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2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7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r>
      <w:tr w:rsidR="00996E50" w:rsidRPr="00996E50" w:rsidTr="00996E50">
        <w:trPr>
          <w:trHeight w:val="300"/>
        </w:trPr>
        <w:tc>
          <w:tcPr>
            <w:tcW w:w="5996" w:type="dxa"/>
            <w:gridSpan w:val="2"/>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ΝΟΜΟΣ ΑΤΤΙΚΗΣ</w:t>
            </w: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2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7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r>
      <w:tr w:rsidR="00996E50" w:rsidRPr="00996E50" w:rsidTr="00996E50">
        <w:trPr>
          <w:trHeight w:val="300"/>
        </w:trPr>
        <w:tc>
          <w:tcPr>
            <w:tcW w:w="7312" w:type="dxa"/>
            <w:gridSpan w:val="3"/>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ΔΗΜΟΣ ΑΓΙΑΣ ΠΑΡΑΣΚΕΥΗΣ</w:t>
            </w: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2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71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r>
      <w:tr w:rsidR="00996E50" w:rsidRPr="00996E50" w:rsidTr="00996E50">
        <w:trPr>
          <w:trHeight w:val="300"/>
        </w:trPr>
        <w:tc>
          <w:tcPr>
            <w:tcW w:w="12892" w:type="dxa"/>
            <w:gridSpan w:val="8"/>
            <w:tcBorders>
              <w:top w:val="nil"/>
              <w:left w:val="nil"/>
              <w:bottom w:val="nil"/>
              <w:right w:val="nil"/>
            </w:tcBorders>
            <w:shd w:val="clear" w:color="auto" w:fill="auto"/>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ΤΡΙΜΗΝΙΑΙΑ ΕΚΘΕΣΗ</w:t>
            </w:r>
          </w:p>
        </w:tc>
      </w:tr>
      <w:tr w:rsidR="00996E50" w:rsidRPr="00996E50" w:rsidTr="00996E50">
        <w:trPr>
          <w:trHeight w:val="315"/>
        </w:trPr>
        <w:tc>
          <w:tcPr>
            <w:tcW w:w="12892" w:type="dxa"/>
            <w:gridSpan w:val="8"/>
            <w:tcBorders>
              <w:top w:val="nil"/>
              <w:left w:val="nil"/>
              <w:bottom w:val="single" w:sz="8" w:space="0" w:color="auto"/>
              <w:right w:val="nil"/>
            </w:tcBorders>
            <w:shd w:val="clear" w:color="auto" w:fill="auto"/>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ΑΠΟΤΕΛΕΣΜΑΤΑ ΕΚΤΕΛΕΣΗΣ ΠΡΟΫΠΟΛΟΓΙΣΜΟΥ ΕΣΟΔΩΝ Β' ΤΡΙΜΗΝΟΥ 2015 </w:t>
            </w:r>
            <w:r w:rsidRPr="00996E50">
              <w:rPr>
                <w:rFonts w:eastAsia="Times New Roman" w:cs="Calibri"/>
                <w:color w:val="000000"/>
                <w:sz w:val="16"/>
                <w:szCs w:val="16"/>
                <w:lang w:eastAsia="el-GR"/>
              </w:rPr>
              <w:t>(ΠΕΡΙΟΔΟΣ 1/1/2015 - 30/6/2015)</w:t>
            </w:r>
          </w:p>
        </w:tc>
      </w:tr>
      <w:tr w:rsidR="00996E50" w:rsidRPr="00996E50" w:rsidTr="00996E50">
        <w:trPr>
          <w:trHeight w:val="295"/>
        </w:trPr>
        <w:tc>
          <w:tcPr>
            <w:tcW w:w="407" w:type="dxa"/>
            <w:vMerge w:val="restart"/>
            <w:tcBorders>
              <w:top w:val="nil"/>
              <w:left w:val="single" w:sz="8" w:space="0" w:color="auto"/>
              <w:bottom w:val="single" w:sz="8" w:space="0" w:color="000000"/>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Κ.Α.</w:t>
            </w:r>
          </w:p>
        </w:tc>
        <w:tc>
          <w:tcPr>
            <w:tcW w:w="5589" w:type="dxa"/>
            <w:vMerge w:val="restart"/>
            <w:tcBorders>
              <w:top w:val="nil"/>
              <w:left w:val="single" w:sz="8" w:space="0" w:color="auto"/>
              <w:bottom w:val="single" w:sz="8" w:space="0" w:color="000000"/>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ΑΝΑΚΕΦΑΛΑΙΩΣΗ ΕΣΟΔΩΝ</w:t>
            </w: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proofErr w:type="spellStart"/>
            <w:r w:rsidRPr="00996E50">
              <w:rPr>
                <w:rFonts w:eastAsia="Times New Roman" w:cs="Calibri"/>
                <w:b/>
                <w:bCs/>
                <w:color w:val="000000"/>
                <w:sz w:val="20"/>
                <w:szCs w:val="20"/>
                <w:lang w:eastAsia="el-GR"/>
              </w:rPr>
              <w:t>Προϋπ</w:t>
            </w:r>
            <w:proofErr w:type="spellEnd"/>
            <w:r w:rsidRPr="00996E50">
              <w:rPr>
                <w:rFonts w:eastAsia="Times New Roman" w:cs="Calibri"/>
                <w:b/>
                <w:bCs/>
                <w:color w:val="000000"/>
                <w:sz w:val="20"/>
                <w:szCs w:val="20"/>
                <w:lang w:eastAsia="el-GR"/>
              </w:rPr>
              <w:t>/</w:t>
            </w:r>
            <w:proofErr w:type="spellStart"/>
            <w:r w:rsidRPr="00996E50">
              <w:rPr>
                <w:rFonts w:eastAsia="Times New Roman" w:cs="Calibri"/>
                <w:b/>
                <w:bCs/>
                <w:color w:val="000000"/>
                <w:sz w:val="20"/>
                <w:szCs w:val="20"/>
                <w:lang w:eastAsia="el-GR"/>
              </w:rPr>
              <w:t>σμός</w:t>
            </w:r>
            <w:proofErr w:type="spellEnd"/>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Βεβαιωθέντα</w:t>
            </w:r>
          </w:p>
        </w:tc>
        <w:tc>
          <w:tcPr>
            <w:tcW w:w="125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w:t>
            </w: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Εισπραχθέντα</w:t>
            </w:r>
          </w:p>
        </w:tc>
        <w:tc>
          <w:tcPr>
            <w:tcW w:w="1692" w:type="dxa"/>
            <w:gridSpan w:val="2"/>
            <w:tcBorders>
              <w:top w:val="single" w:sz="8" w:space="0" w:color="auto"/>
              <w:left w:val="nil"/>
              <w:bottom w:val="single" w:sz="8" w:space="0" w:color="auto"/>
              <w:right w:val="single" w:sz="8" w:space="0" w:color="000000"/>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w:t>
            </w:r>
          </w:p>
        </w:tc>
      </w:tr>
      <w:tr w:rsidR="00996E50" w:rsidRPr="00996E50" w:rsidTr="00996E50">
        <w:trPr>
          <w:trHeight w:val="295"/>
        </w:trPr>
        <w:tc>
          <w:tcPr>
            <w:tcW w:w="407" w:type="dxa"/>
            <w:vMerge/>
            <w:tcBorders>
              <w:top w:val="nil"/>
              <w:left w:val="single" w:sz="8" w:space="0" w:color="auto"/>
              <w:bottom w:val="single" w:sz="8" w:space="0" w:color="000000"/>
              <w:right w:val="single" w:sz="8" w:space="0" w:color="auto"/>
            </w:tcBorders>
            <w:vAlign w:val="center"/>
            <w:hideMark/>
          </w:tcPr>
          <w:p w:rsidR="00996E50" w:rsidRPr="00996E50" w:rsidRDefault="00996E50" w:rsidP="00996E50">
            <w:pPr>
              <w:spacing w:after="0" w:line="240" w:lineRule="auto"/>
              <w:rPr>
                <w:rFonts w:eastAsia="Times New Roman" w:cs="Calibri"/>
                <w:b/>
                <w:bCs/>
                <w:color w:val="000000"/>
                <w:sz w:val="20"/>
                <w:szCs w:val="20"/>
                <w:lang w:eastAsia="el-GR"/>
              </w:rPr>
            </w:pPr>
          </w:p>
        </w:tc>
        <w:tc>
          <w:tcPr>
            <w:tcW w:w="5589" w:type="dxa"/>
            <w:vMerge/>
            <w:tcBorders>
              <w:top w:val="nil"/>
              <w:left w:val="single" w:sz="8" w:space="0" w:color="auto"/>
              <w:bottom w:val="single" w:sz="8" w:space="0" w:color="000000"/>
              <w:right w:val="single" w:sz="8" w:space="0" w:color="auto"/>
            </w:tcBorders>
            <w:vAlign w:val="center"/>
            <w:hideMark/>
          </w:tcPr>
          <w:p w:rsidR="00996E50" w:rsidRPr="00996E50" w:rsidRDefault="00996E50" w:rsidP="00996E50">
            <w:pPr>
              <w:spacing w:after="0" w:line="240" w:lineRule="auto"/>
              <w:rPr>
                <w:rFonts w:eastAsia="Times New Roman" w:cs="Calibri"/>
                <w:b/>
                <w:bCs/>
                <w:color w:val="000000"/>
                <w:sz w:val="20"/>
                <w:szCs w:val="20"/>
                <w:lang w:eastAsia="el-GR"/>
              </w:rPr>
            </w:pP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1</w:t>
            </w: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2</w:t>
            </w:r>
          </w:p>
        </w:tc>
        <w:tc>
          <w:tcPr>
            <w:tcW w:w="125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2/1</w:t>
            </w: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3</w:t>
            </w:r>
          </w:p>
        </w:tc>
        <w:tc>
          <w:tcPr>
            <w:tcW w:w="7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3/1</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3/2</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0</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Τακτικά έσοδα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45.349.708,15</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20.981.694,25</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46,27%</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20.893.289,36</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46,07%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99,58%</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Πρόσοδοι από ακίνητη περιουσία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80.945,00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70.211,62</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86,74%</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34.553,80</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42,69%</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49,21%</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Πρόσοδοι από κινητή περιουσία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136.000,00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56.048,44</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41,21%</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56.048,44</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41,21%</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Έσοδα από ανταποδοτικά τέλη και δικαιώματα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5.015.500,00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1.639.198,89</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32,68%</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1.638.663,75</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32,67%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99,97%</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Έσοδα από λοιπά τέλη - δικαιώματα και παροχή υπηρεσιών</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1.796.495,00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672.100,06</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37,41%</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631.971,48</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35,18%</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94,03%</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Φόροι και εισφορές</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1.298.500,00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521.696,34</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40,18%</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511.782,40</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39,41%</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98,10%</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Έσοδα από επιχορηγήσεις</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36.783.918,15</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17.995.419,54</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48,92%</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17.995.419,54</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48,92%</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Λοιπά τακτικά έσοδα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238.350,00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27.019,36</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11,34%</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24.849,95</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10,43%</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91,97%</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proofErr w:type="spellStart"/>
            <w:r w:rsidRPr="00996E50">
              <w:rPr>
                <w:rFonts w:eastAsia="Times New Roman" w:cs="Calibri"/>
                <w:b/>
                <w:bCs/>
                <w:color w:val="000000"/>
                <w:sz w:val="20"/>
                <w:szCs w:val="20"/>
                <w:lang w:eastAsia="el-GR"/>
              </w:rPr>
              <w:t>Εκτακτα</w:t>
            </w:r>
            <w:proofErr w:type="spellEnd"/>
            <w:r w:rsidRPr="00996E50">
              <w:rPr>
                <w:rFonts w:eastAsia="Times New Roman" w:cs="Calibri"/>
                <w:b/>
                <w:bCs/>
                <w:color w:val="000000"/>
                <w:sz w:val="20"/>
                <w:szCs w:val="20"/>
                <w:lang w:eastAsia="el-GR"/>
              </w:rPr>
              <w:t xml:space="preserve"> έσοδα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4.847.114,27</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775.804,09</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16,01%</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759.300,90</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15,67%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97,87%</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11</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proofErr w:type="spellStart"/>
            <w:r w:rsidRPr="00996E50">
              <w:rPr>
                <w:rFonts w:eastAsia="Times New Roman" w:cs="Calibri"/>
                <w:color w:val="000000"/>
                <w:sz w:val="20"/>
                <w:szCs w:val="20"/>
                <w:lang w:eastAsia="el-GR"/>
              </w:rPr>
              <w:t>Εσοδα</w:t>
            </w:r>
            <w:proofErr w:type="spellEnd"/>
            <w:r w:rsidRPr="00996E50">
              <w:rPr>
                <w:rFonts w:eastAsia="Times New Roman" w:cs="Calibri"/>
                <w:color w:val="000000"/>
                <w:sz w:val="20"/>
                <w:szCs w:val="20"/>
                <w:lang w:eastAsia="el-GR"/>
              </w:rPr>
              <w:t xml:space="preserve"> από την εκποίηση κινητής και ακίνητης περιούσιας</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40.000,00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30.086,30</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75,22%</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8.493,11</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21,23%</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28,23%</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Επιχορηγήσεις για κάλυψη λειτουργικών δαπανών</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237.240,00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103.485,47</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43,62%</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103.485,47</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43,62%</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13</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Επιχορηγήσεις για επενδυτικές δαπάνες</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3.058.904,27</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539.981,10</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17,65%</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539.981,10</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17,65%</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14</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Δωρεές - κληρονομιές – κληροδοσίες</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0,00</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 </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0,00</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 </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 </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15</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Προσαυξήσεις - πρόστιμα – παράβολα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377.970,00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101.791,22</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26,93%</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106.881,22</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28,28%</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105,00%</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16</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Λοιπά έκτακτα έσοδα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1.133.000,00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460,00</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0,04%</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460,00</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0,04%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Έσοδα παρελθόντων οικονομικών ετών</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1.715.000,00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1.549.207,66</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90,33%</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1.492.518,77</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87,03%</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96,34%</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21</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Τακτικά έσοδα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1.596.000,00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1.486.874,33</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93,16%</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1.451.343,79</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90,94%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97,61%</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lastRenderedPageBreak/>
              <w:t>22</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Έκτακτα έσοδα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119.000,00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62.333,33</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52,38%</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41.174,98</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34,60%</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66,06%</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Εισπράξεις από δάνεια και απαιτήσεις από Π.Ο.Ε.</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7.547.141,31</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7.323.074,60</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97,03%</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156.822,85</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2,08%</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2,14%</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31</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Εισπράξεις από δάνεια</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0,00</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 </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0,00</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 </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 </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32</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Εισπρακτέα υπόλοιπα προηγούμενων οικονομικών ετών</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7.547.141,31</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7.323.074,60</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97,03%</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156.822,85</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2,08%</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2,14%</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Εισπράξεις υπέρ Δημοσίου και τρίτων</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3.596.000,00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1.631.485,41</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45,37%</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1.400.229,48</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38,94%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85,83%</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41</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Εισπράξεις υπέρ του δημόσιου</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3.417.000,00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1.241.364,35</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36,33%</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1.240.876,89</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36,31%</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99,96%</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42</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Εισπράξεις υπέρ τρίτων</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179.000,00</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390.121,06</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217,94%</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159.352,59</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89,02%</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40,85%</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w:t>
            </w:r>
          </w:p>
        </w:tc>
        <w:tc>
          <w:tcPr>
            <w:tcW w:w="55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Χρηματικό υπόλοιπο προηγούμενου Έτους</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5.807.931,28</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2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c>
          <w:tcPr>
            <w:tcW w:w="13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71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r>
      <w:tr w:rsidR="00996E50" w:rsidRPr="00996E50" w:rsidTr="00996E50">
        <w:trPr>
          <w:trHeight w:val="295"/>
        </w:trPr>
        <w:tc>
          <w:tcPr>
            <w:tcW w:w="407" w:type="dxa"/>
            <w:tcBorders>
              <w:top w:val="nil"/>
              <w:left w:val="single" w:sz="8" w:space="0" w:color="auto"/>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c>
          <w:tcPr>
            <w:tcW w:w="55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Σύνολα εσόδων</w:t>
            </w: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68.862.895,01</w:t>
            </w: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32.261.266,01</w:t>
            </w:r>
          </w:p>
        </w:tc>
        <w:tc>
          <w:tcPr>
            <w:tcW w:w="125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3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24.702.161,36</w:t>
            </w:r>
          </w:p>
        </w:tc>
        <w:tc>
          <w:tcPr>
            <w:tcW w:w="71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r>
    </w:tbl>
    <w:p w:rsidR="00996E50" w:rsidRDefault="00996E50" w:rsidP="004F7D99">
      <w:pPr>
        <w:sectPr w:rsidR="00996E50" w:rsidSect="00996E50">
          <w:pgSz w:w="16838" w:h="11906" w:orient="landscape"/>
          <w:pgMar w:top="284" w:right="1440" w:bottom="567" w:left="1440" w:header="709" w:footer="0" w:gutter="0"/>
          <w:cols w:space="708"/>
          <w:docGrid w:linePitch="360"/>
        </w:sectPr>
      </w:pPr>
    </w:p>
    <w:tbl>
      <w:tblPr>
        <w:tblW w:w="15479" w:type="dxa"/>
        <w:tblInd w:w="-601" w:type="dxa"/>
        <w:tblLook w:val="04A0"/>
      </w:tblPr>
      <w:tblGrid>
        <w:gridCol w:w="554"/>
        <w:gridCol w:w="3983"/>
        <w:gridCol w:w="1389"/>
        <w:gridCol w:w="1389"/>
        <w:gridCol w:w="1022"/>
        <w:gridCol w:w="1556"/>
        <w:gridCol w:w="856"/>
        <w:gridCol w:w="1389"/>
        <w:gridCol w:w="1389"/>
        <w:gridCol w:w="976"/>
        <w:gridCol w:w="976"/>
      </w:tblGrid>
      <w:tr w:rsidR="00996E50" w:rsidRPr="00996E50" w:rsidTr="00996E50">
        <w:trPr>
          <w:trHeight w:val="300"/>
        </w:trPr>
        <w:tc>
          <w:tcPr>
            <w:tcW w:w="4537" w:type="dxa"/>
            <w:gridSpan w:val="2"/>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lastRenderedPageBreak/>
              <w:t xml:space="preserve">ΕΛΛΗΝΙΚΗ ΔΗΜΟΚΡΑΤΙΑ </w:t>
            </w: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022"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5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8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r>
      <w:tr w:rsidR="00996E50" w:rsidRPr="00996E50" w:rsidTr="00996E50">
        <w:trPr>
          <w:trHeight w:val="300"/>
        </w:trPr>
        <w:tc>
          <w:tcPr>
            <w:tcW w:w="4537" w:type="dxa"/>
            <w:gridSpan w:val="2"/>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ΝΟΜΟΣ ΑΤΤΙΚΗΣ</w:t>
            </w: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022"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5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8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r>
      <w:tr w:rsidR="00996E50" w:rsidRPr="00996E50" w:rsidTr="00996E50">
        <w:trPr>
          <w:trHeight w:val="300"/>
        </w:trPr>
        <w:tc>
          <w:tcPr>
            <w:tcW w:w="5926" w:type="dxa"/>
            <w:gridSpan w:val="3"/>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ΔΗΜΟΣ ΑΓΙΑΣ ΠΑΡΑΣΚΕΥΗΣ</w:t>
            </w: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022"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5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85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c>
          <w:tcPr>
            <w:tcW w:w="976" w:type="dxa"/>
            <w:tcBorders>
              <w:top w:val="nil"/>
              <w:left w:val="nil"/>
              <w:bottom w:val="nil"/>
              <w:right w:val="nil"/>
            </w:tcBorders>
            <w:shd w:val="clear" w:color="auto" w:fill="auto"/>
            <w:noWrap/>
            <w:vAlign w:val="bottom"/>
            <w:hideMark/>
          </w:tcPr>
          <w:p w:rsidR="00996E50" w:rsidRPr="00996E50" w:rsidRDefault="00996E50" w:rsidP="00996E50">
            <w:pPr>
              <w:spacing w:after="0" w:line="240" w:lineRule="auto"/>
              <w:rPr>
                <w:rFonts w:eastAsia="Times New Roman" w:cs="Calibri"/>
                <w:color w:val="000000"/>
                <w:lang w:eastAsia="el-GR"/>
              </w:rPr>
            </w:pPr>
          </w:p>
        </w:tc>
      </w:tr>
      <w:tr w:rsidR="00996E50" w:rsidRPr="00996E50" w:rsidTr="00996E50">
        <w:trPr>
          <w:trHeight w:val="300"/>
        </w:trPr>
        <w:tc>
          <w:tcPr>
            <w:tcW w:w="15479" w:type="dxa"/>
            <w:gridSpan w:val="11"/>
            <w:tcBorders>
              <w:top w:val="nil"/>
              <w:left w:val="nil"/>
              <w:bottom w:val="nil"/>
              <w:right w:val="nil"/>
            </w:tcBorders>
            <w:shd w:val="clear" w:color="auto" w:fill="auto"/>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ΤΡΙΜΗΝΙΑΙΑ ΕΚΘΕΣΗ</w:t>
            </w:r>
          </w:p>
        </w:tc>
      </w:tr>
      <w:tr w:rsidR="00996E50" w:rsidRPr="00996E50" w:rsidTr="00996E50">
        <w:trPr>
          <w:trHeight w:val="300"/>
        </w:trPr>
        <w:tc>
          <w:tcPr>
            <w:tcW w:w="15479" w:type="dxa"/>
            <w:gridSpan w:val="11"/>
            <w:tcBorders>
              <w:top w:val="nil"/>
              <w:left w:val="nil"/>
              <w:bottom w:val="nil"/>
              <w:right w:val="nil"/>
            </w:tcBorders>
            <w:shd w:val="clear" w:color="auto" w:fill="auto"/>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 xml:space="preserve">ΑΠΟΤΕΛΕΣΜΑΤΑ ΕΚΤΕΛΕΣΗΣ ΠΡΟΫΠΟΛΟΓΙΣΜΟΥ ΔΑΠΑΝΩΝ </w:t>
            </w:r>
            <w:r>
              <w:rPr>
                <w:rFonts w:eastAsia="Times New Roman" w:cs="Calibri"/>
                <w:b/>
                <w:bCs/>
                <w:color w:val="000000"/>
                <w:sz w:val="20"/>
                <w:szCs w:val="20"/>
                <w:lang w:eastAsia="el-GR"/>
              </w:rPr>
              <w:t>Β</w:t>
            </w:r>
            <w:r w:rsidRPr="00996E50">
              <w:rPr>
                <w:rFonts w:eastAsia="Times New Roman" w:cs="Calibri"/>
                <w:b/>
                <w:bCs/>
                <w:color w:val="000000"/>
                <w:sz w:val="20"/>
                <w:szCs w:val="20"/>
                <w:lang w:eastAsia="el-GR"/>
              </w:rPr>
              <w:t>' ΤΡΙΜΗΝΟΥ 201</w:t>
            </w:r>
            <w:r>
              <w:rPr>
                <w:rFonts w:eastAsia="Times New Roman" w:cs="Calibri"/>
                <w:b/>
                <w:bCs/>
                <w:color w:val="000000"/>
                <w:sz w:val="20"/>
                <w:szCs w:val="20"/>
                <w:lang w:eastAsia="el-GR"/>
              </w:rPr>
              <w:t>5</w:t>
            </w:r>
            <w:r w:rsidR="00AC355A">
              <w:rPr>
                <w:rFonts w:eastAsia="Times New Roman" w:cs="Calibri"/>
                <w:b/>
                <w:bCs/>
                <w:color w:val="000000"/>
                <w:sz w:val="20"/>
                <w:szCs w:val="20"/>
                <w:lang w:eastAsia="el-GR"/>
              </w:rPr>
              <w:t xml:space="preserve"> </w:t>
            </w:r>
            <w:r w:rsidR="00AC355A" w:rsidRPr="00AC355A">
              <w:rPr>
                <w:rFonts w:eastAsia="Times New Roman" w:cs="Calibri"/>
                <w:b/>
                <w:bCs/>
                <w:color w:val="000000"/>
                <w:sz w:val="16"/>
                <w:szCs w:val="16"/>
                <w:lang w:eastAsia="el-GR"/>
              </w:rPr>
              <w:t>(</w:t>
            </w:r>
            <w:r w:rsidR="00AC355A" w:rsidRPr="00996E50">
              <w:rPr>
                <w:rFonts w:eastAsia="Times New Roman" w:cs="Calibri"/>
                <w:color w:val="000000"/>
                <w:sz w:val="16"/>
                <w:szCs w:val="16"/>
                <w:lang w:eastAsia="el-GR"/>
              </w:rPr>
              <w:t>ΠΕΡΙΟΔΟΣ 1/1/201</w:t>
            </w:r>
            <w:r w:rsidR="00AC355A" w:rsidRPr="00AC355A">
              <w:rPr>
                <w:rFonts w:eastAsia="Times New Roman" w:cs="Calibri"/>
                <w:color w:val="000000"/>
                <w:sz w:val="16"/>
                <w:szCs w:val="16"/>
                <w:lang w:eastAsia="el-GR"/>
              </w:rPr>
              <w:t>5</w:t>
            </w:r>
            <w:r w:rsidR="00AC355A" w:rsidRPr="00996E50">
              <w:rPr>
                <w:rFonts w:eastAsia="Times New Roman" w:cs="Calibri"/>
                <w:color w:val="000000"/>
                <w:sz w:val="16"/>
                <w:szCs w:val="16"/>
                <w:lang w:eastAsia="el-GR"/>
              </w:rPr>
              <w:t xml:space="preserve"> - 30/0</w:t>
            </w:r>
            <w:r w:rsidR="00AC355A" w:rsidRPr="00AC355A">
              <w:rPr>
                <w:rFonts w:eastAsia="Times New Roman" w:cs="Calibri"/>
                <w:color w:val="000000"/>
                <w:sz w:val="16"/>
                <w:szCs w:val="16"/>
                <w:lang w:eastAsia="el-GR"/>
              </w:rPr>
              <w:t>6</w:t>
            </w:r>
            <w:r w:rsidR="00AC355A" w:rsidRPr="00996E50">
              <w:rPr>
                <w:rFonts w:eastAsia="Times New Roman" w:cs="Calibri"/>
                <w:color w:val="000000"/>
                <w:sz w:val="16"/>
                <w:szCs w:val="16"/>
                <w:lang w:eastAsia="el-GR"/>
              </w:rPr>
              <w:t>/201</w:t>
            </w:r>
            <w:r w:rsidR="00AC355A" w:rsidRPr="00AC355A">
              <w:rPr>
                <w:rFonts w:eastAsia="Times New Roman" w:cs="Calibri"/>
                <w:color w:val="000000"/>
                <w:sz w:val="16"/>
                <w:szCs w:val="16"/>
                <w:lang w:eastAsia="el-GR"/>
              </w:rPr>
              <w:t>5)</w:t>
            </w:r>
          </w:p>
        </w:tc>
      </w:tr>
      <w:tr w:rsidR="00996E50" w:rsidRPr="00996E50" w:rsidTr="00996E50">
        <w:trPr>
          <w:trHeight w:val="315"/>
        </w:trPr>
        <w:tc>
          <w:tcPr>
            <w:tcW w:w="554"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Κ.Α.</w:t>
            </w:r>
          </w:p>
        </w:tc>
        <w:tc>
          <w:tcPr>
            <w:tcW w:w="3983"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ΑΝΑΚΕΦΑΛΑΙΩΣΗ ΕΞΟΔΩΝ</w:t>
            </w:r>
          </w:p>
        </w:tc>
        <w:tc>
          <w:tcPr>
            <w:tcW w:w="1389" w:type="dxa"/>
            <w:tcBorders>
              <w:top w:val="single" w:sz="8" w:space="0" w:color="auto"/>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proofErr w:type="spellStart"/>
            <w:r w:rsidRPr="00996E50">
              <w:rPr>
                <w:rFonts w:eastAsia="Times New Roman" w:cs="Calibri"/>
                <w:b/>
                <w:bCs/>
                <w:color w:val="000000"/>
                <w:sz w:val="20"/>
                <w:szCs w:val="20"/>
                <w:lang w:eastAsia="el-GR"/>
              </w:rPr>
              <w:t>Προϋπ</w:t>
            </w:r>
            <w:proofErr w:type="spellEnd"/>
            <w:r w:rsidRPr="00996E50">
              <w:rPr>
                <w:rFonts w:eastAsia="Times New Roman" w:cs="Calibri"/>
                <w:b/>
                <w:bCs/>
                <w:color w:val="000000"/>
                <w:sz w:val="20"/>
                <w:szCs w:val="20"/>
                <w:lang w:eastAsia="el-GR"/>
              </w:rPr>
              <w:t>/</w:t>
            </w:r>
            <w:proofErr w:type="spellStart"/>
            <w:r w:rsidRPr="00996E50">
              <w:rPr>
                <w:rFonts w:eastAsia="Times New Roman" w:cs="Calibri"/>
                <w:b/>
                <w:bCs/>
                <w:color w:val="000000"/>
                <w:sz w:val="20"/>
                <w:szCs w:val="20"/>
                <w:lang w:eastAsia="el-GR"/>
              </w:rPr>
              <w:t>σμός</w:t>
            </w:r>
            <w:proofErr w:type="spellEnd"/>
          </w:p>
        </w:tc>
        <w:tc>
          <w:tcPr>
            <w:tcW w:w="1389" w:type="dxa"/>
            <w:tcBorders>
              <w:top w:val="single" w:sz="8" w:space="0" w:color="auto"/>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Δεσμευθέντα</w:t>
            </w:r>
          </w:p>
        </w:tc>
        <w:tc>
          <w:tcPr>
            <w:tcW w:w="1022" w:type="dxa"/>
            <w:tcBorders>
              <w:top w:val="single" w:sz="8" w:space="0" w:color="auto"/>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w:t>
            </w:r>
          </w:p>
        </w:tc>
        <w:tc>
          <w:tcPr>
            <w:tcW w:w="1556" w:type="dxa"/>
            <w:tcBorders>
              <w:top w:val="single" w:sz="8" w:space="0" w:color="auto"/>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proofErr w:type="spellStart"/>
            <w:r w:rsidRPr="00996E50">
              <w:rPr>
                <w:rFonts w:eastAsia="Times New Roman" w:cs="Calibri"/>
                <w:b/>
                <w:bCs/>
                <w:color w:val="000000"/>
                <w:sz w:val="20"/>
                <w:szCs w:val="20"/>
                <w:lang w:eastAsia="el-GR"/>
              </w:rPr>
              <w:t>Τιμολογηθέντα</w:t>
            </w:r>
            <w:proofErr w:type="spellEnd"/>
          </w:p>
        </w:tc>
        <w:tc>
          <w:tcPr>
            <w:tcW w:w="856" w:type="dxa"/>
            <w:tcBorders>
              <w:top w:val="single" w:sz="8" w:space="0" w:color="auto"/>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w:t>
            </w:r>
          </w:p>
        </w:tc>
        <w:tc>
          <w:tcPr>
            <w:tcW w:w="1389" w:type="dxa"/>
            <w:tcBorders>
              <w:top w:val="single" w:sz="8" w:space="0" w:color="auto"/>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proofErr w:type="spellStart"/>
            <w:r w:rsidRPr="00996E50">
              <w:rPr>
                <w:rFonts w:eastAsia="Times New Roman" w:cs="Calibri"/>
                <w:b/>
                <w:bCs/>
                <w:color w:val="000000"/>
                <w:sz w:val="20"/>
                <w:szCs w:val="20"/>
                <w:lang w:eastAsia="el-GR"/>
              </w:rPr>
              <w:t>Ενταλθέντα</w:t>
            </w:r>
            <w:proofErr w:type="spellEnd"/>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Πληρωθέντα</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b/>
                <w:bCs/>
                <w:color w:val="000000"/>
                <w:sz w:val="20"/>
                <w:szCs w:val="20"/>
                <w:lang w:eastAsia="el-GR"/>
              </w:rPr>
            </w:pPr>
            <w:r w:rsidRPr="00996E50">
              <w:rPr>
                <w:rFonts w:eastAsia="Times New Roman" w:cs="Calibri"/>
                <w:b/>
                <w:bCs/>
                <w:color w:val="000000"/>
                <w:sz w:val="20"/>
                <w:szCs w:val="20"/>
                <w:lang w:eastAsia="el-GR"/>
              </w:rPr>
              <w:t>%</w:t>
            </w:r>
          </w:p>
        </w:tc>
      </w:tr>
      <w:tr w:rsidR="00996E50" w:rsidRPr="00996E50" w:rsidTr="00996E50">
        <w:trPr>
          <w:trHeight w:val="315"/>
        </w:trPr>
        <w:tc>
          <w:tcPr>
            <w:tcW w:w="554" w:type="dxa"/>
            <w:vMerge/>
            <w:tcBorders>
              <w:top w:val="single" w:sz="8" w:space="0" w:color="auto"/>
              <w:left w:val="single" w:sz="8" w:space="0" w:color="auto"/>
              <w:bottom w:val="single" w:sz="8" w:space="0" w:color="000000"/>
              <w:right w:val="single" w:sz="8" w:space="0" w:color="auto"/>
            </w:tcBorders>
            <w:vAlign w:val="center"/>
            <w:hideMark/>
          </w:tcPr>
          <w:p w:rsidR="00996E50" w:rsidRPr="00996E50" w:rsidRDefault="00996E50" w:rsidP="00996E50">
            <w:pPr>
              <w:spacing w:after="0" w:line="240" w:lineRule="auto"/>
              <w:rPr>
                <w:rFonts w:eastAsia="Times New Roman" w:cs="Calibri"/>
                <w:b/>
                <w:bCs/>
                <w:color w:val="000000"/>
                <w:sz w:val="20"/>
                <w:szCs w:val="20"/>
                <w:lang w:eastAsia="el-GR"/>
              </w:rPr>
            </w:pPr>
          </w:p>
        </w:tc>
        <w:tc>
          <w:tcPr>
            <w:tcW w:w="3983" w:type="dxa"/>
            <w:vMerge/>
            <w:tcBorders>
              <w:top w:val="single" w:sz="8" w:space="0" w:color="auto"/>
              <w:left w:val="single" w:sz="8" w:space="0" w:color="auto"/>
              <w:bottom w:val="single" w:sz="8" w:space="0" w:color="000000"/>
              <w:right w:val="single" w:sz="8" w:space="0" w:color="auto"/>
            </w:tcBorders>
            <w:vAlign w:val="center"/>
            <w:hideMark/>
          </w:tcPr>
          <w:p w:rsidR="00996E50" w:rsidRPr="00996E50" w:rsidRDefault="00996E50" w:rsidP="00996E50">
            <w:pPr>
              <w:spacing w:after="0" w:line="240" w:lineRule="auto"/>
              <w:rPr>
                <w:rFonts w:eastAsia="Times New Roman" w:cs="Calibri"/>
                <w:b/>
                <w:bCs/>
                <w:color w:val="000000"/>
                <w:sz w:val="20"/>
                <w:szCs w:val="20"/>
                <w:lang w:eastAsia="el-GR"/>
              </w:rPr>
            </w:pP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1</w:t>
            </w: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2</w:t>
            </w:r>
          </w:p>
        </w:tc>
        <w:tc>
          <w:tcPr>
            <w:tcW w:w="1022"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1/2</w:t>
            </w:r>
          </w:p>
        </w:tc>
        <w:tc>
          <w:tcPr>
            <w:tcW w:w="155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3</w:t>
            </w:r>
          </w:p>
        </w:tc>
        <w:tc>
          <w:tcPr>
            <w:tcW w:w="85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3/1</w:t>
            </w: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4</w:t>
            </w: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5</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5/1</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center"/>
              <w:rPr>
                <w:rFonts w:eastAsia="Times New Roman" w:cs="Calibri"/>
                <w:color w:val="000000"/>
                <w:sz w:val="20"/>
                <w:szCs w:val="20"/>
                <w:lang w:eastAsia="el-GR"/>
              </w:rPr>
            </w:pPr>
            <w:r w:rsidRPr="00996E50">
              <w:rPr>
                <w:rFonts w:eastAsia="Times New Roman" w:cs="Calibri"/>
                <w:color w:val="000000"/>
                <w:sz w:val="20"/>
                <w:szCs w:val="20"/>
                <w:lang w:eastAsia="el-GR"/>
              </w:rPr>
              <w:t>5/3</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6</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Έξοδα</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48.524.228,16</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32.203.537,93</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150,68%</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22.442.102,87</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46,25%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22.339.843,65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21.785.829,52</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44,90%</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97,08%</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60</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Αμοιβές και έξοδα προσωπικού</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7.235.769,51</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6.736.109,74</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107,42%</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3.170.916,53</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43,82%</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3.170.916,53</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2.885.176,84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39,87%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90,99%</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61</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Αμοιβές αιρετών και τρίτων</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916.682,32</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581.712,12</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157,58%</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213.202,50</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23,26%</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207.727,17</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180.925,27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19,74%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84,86%</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62</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Παροχές τρίτων</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2.291.165,07</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1.860.887,85</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123,12%</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803.438,21</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35,07%</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770.215,11</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746.748,85</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32,59%</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92,94%</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63</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xml:space="preserve">Φόροι </w:t>
            </w:r>
            <w:r>
              <w:rPr>
                <w:rFonts w:eastAsia="Times New Roman" w:cs="Calibri"/>
                <w:color w:val="000000"/>
                <w:sz w:val="20"/>
                <w:szCs w:val="20"/>
                <w:lang w:eastAsia="el-GR"/>
              </w:rPr>
              <w:t>–</w:t>
            </w:r>
            <w:r w:rsidRPr="00996E50">
              <w:rPr>
                <w:rFonts w:eastAsia="Times New Roman" w:cs="Calibri"/>
                <w:color w:val="000000"/>
                <w:sz w:val="20"/>
                <w:szCs w:val="20"/>
                <w:lang w:eastAsia="el-GR"/>
              </w:rPr>
              <w:t xml:space="preserve"> τέλη</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30.600,00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22.600,00</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135,40%</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6.631,54</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21,67%</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6.631,54</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6.631,54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21,67%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64</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Λοιπά Γενικά έξοδα</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1.020.949,35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679.404,53</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150,27%</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252.023,25</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24,69%</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232.980,46</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210.532,19</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20,62%</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83,54%</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65</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Πληρωμές για την εξυπηρέτηση δημοσίας πίστεως</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469.065,55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469.065,55</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254.388,64</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54,23%</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254.388,64</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254.388,64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54,23%</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66</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Δαπάνες προμήθειας αναλωσίμων</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1.209.062,26</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623.127,77</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194,03%</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212.079,15</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17,54%</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182.561,15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149.914,05</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12,40%</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70,69%</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67</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Πληρωμές - Μεταβιβάσεις σε τρίτους</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35.265.716,10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21.149.801,51</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166,74%</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17.451.969,61</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49,49%</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17.436.969,61</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17.275.569,61</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48,99%</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98,99%</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68</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Λοιπά Έξοδα</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85.218,00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80.828,86</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105,43%</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77.453,44</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90,89%</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77.453,44</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75.942,53</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89,12%</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98,05%</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Επενδύσεις</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8.000.367,70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3.474.956,13</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230,23%</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795.768,45</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9,95%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596.619,36</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583.588,51</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7,29%</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73,34%</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71</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Αγορές κτιρίων, τεχνικών έργων και προμήθειες παγίων</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3.183.978,08</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276.100,65</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1153,19%</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240.922,20</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7,57%</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238.998,48</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238.998,48</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7,51%</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99,20%</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73</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Έργα</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4.225.638,31</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2.791.417,13</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151,38%</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260.062,44</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6,15%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154.545,87</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154.545,87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3,66%</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59,43%</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74</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Μελέτες, έρευνες, πειραματικές εργασίες κλπ</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590.751,31</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407.438,35</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144,99%</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294.783,81</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49,90%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203.075,01</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190.044,16</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32,17%</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64,47%</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75</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Τίτλοι πάγιας επένδυσης (συμμετοχές σε επιχειρήσεις)</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8</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Πληρωμές Π.Ο.Ε., αποδόσεις και προβλέψεις</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12.177.432,75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2.892.105,22</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421,06%</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2.889.399,38</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23,73%</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2.226.025,52</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2.211.878,64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18,16%</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76,55%</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81</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Πληρωμές Π.Ο.Ε.</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1.606.553,48</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1.606.553,48</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100,00%</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1.606.242,88</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99,98%</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942.869,02</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930.762,94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57,94%</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57,95%</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lastRenderedPageBreak/>
              <w:t>82</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Αποδόσεις</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3.463.000,00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1.285.551,74</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269,38%</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1.283.156,50</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37,05%</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1.283.156,50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1.281.115,70</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36,99%</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99,84%</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85</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Προβλέψεις μη είσπραξης</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7.107.879,27</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0</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9</w:t>
            </w:r>
          </w:p>
        </w:tc>
        <w:tc>
          <w:tcPr>
            <w:tcW w:w="3983"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Αποθεματικό</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jc w:val="right"/>
              <w:rPr>
                <w:rFonts w:eastAsia="Times New Roman" w:cs="Calibri"/>
                <w:color w:val="000000"/>
                <w:sz w:val="20"/>
                <w:szCs w:val="20"/>
                <w:lang w:eastAsia="el-GR"/>
              </w:rPr>
            </w:pPr>
            <w:r w:rsidRPr="00996E50">
              <w:rPr>
                <w:rFonts w:eastAsia="Times New Roman" w:cs="Calibri"/>
                <w:color w:val="000000"/>
                <w:sz w:val="20"/>
                <w:szCs w:val="20"/>
                <w:lang w:eastAsia="el-GR"/>
              </w:rPr>
              <w:t>160.866,40</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022"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5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85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389"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976" w:type="dxa"/>
            <w:tcBorders>
              <w:top w:val="nil"/>
              <w:left w:val="nil"/>
              <w:bottom w:val="single" w:sz="8" w:space="0" w:color="auto"/>
              <w:right w:val="single" w:sz="8" w:space="0" w:color="auto"/>
            </w:tcBorders>
            <w:shd w:val="clear" w:color="auto" w:fill="auto"/>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r>
      <w:tr w:rsidR="00996E50" w:rsidRPr="00996E50" w:rsidTr="00996E50">
        <w:trPr>
          <w:trHeight w:val="315"/>
        </w:trPr>
        <w:tc>
          <w:tcPr>
            <w:tcW w:w="554" w:type="dxa"/>
            <w:tcBorders>
              <w:top w:val="nil"/>
              <w:left w:val="single" w:sz="8" w:space="0" w:color="auto"/>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c>
          <w:tcPr>
            <w:tcW w:w="3983"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Σύνολα δαπανών</w:t>
            </w: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68.862.895,01</w:t>
            </w: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38.570.599,28</w:t>
            </w:r>
          </w:p>
        </w:tc>
        <w:tc>
          <w:tcPr>
            <w:tcW w:w="1022"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55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26.127.270,70</w:t>
            </w:r>
          </w:p>
        </w:tc>
        <w:tc>
          <w:tcPr>
            <w:tcW w:w="85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b/>
                <w:bCs/>
                <w:color w:val="000000"/>
                <w:sz w:val="20"/>
                <w:szCs w:val="20"/>
                <w:lang w:eastAsia="el-GR"/>
              </w:rPr>
            </w:pPr>
            <w:r w:rsidRPr="00996E50">
              <w:rPr>
                <w:rFonts w:eastAsia="Times New Roman" w:cs="Calibri"/>
                <w:b/>
                <w:bCs/>
                <w:color w:val="000000"/>
                <w:sz w:val="20"/>
                <w:szCs w:val="20"/>
                <w:lang w:eastAsia="el-GR"/>
              </w:rPr>
              <w:t> </w:t>
            </w: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25.162.488,53</w:t>
            </w:r>
          </w:p>
        </w:tc>
        <w:tc>
          <w:tcPr>
            <w:tcW w:w="1389"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jc w:val="right"/>
              <w:rPr>
                <w:rFonts w:eastAsia="Times New Roman" w:cs="Calibri"/>
                <w:b/>
                <w:bCs/>
                <w:color w:val="000000"/>
                <w:sz w:val="20"/>
                <w:szCs w:val="20"/>
                <w:lang w:eastAsia="el-GR"/>
              </w:rPr>
            </w:pPr>
            <w:r w:rsidRPr="00996E50">
              <w:rPr>
                <w:rFonts w:eastAsia="Times New Roman" w:cs="Calibri"/>
                <w:b/>
                <w:bCs/>
                <w:color w:val="000000"/>
                <w:sz w:val="20"/>
                <w:szCs w:val="20"/>
                <w:lang w:eastAsia="el-GR"/>
              </w:rPr>
              <w:t>24.581.296,67</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c>
          <w:tcPr>
            <w:tcW w:w="976" w:type="dxa"/>
            <w:tcBorders>
              <w:top w:val="nil"/>
              <w:left w:val="nil"/>
              <w:bottom w:val="single" w:sz="8" w:space="0" w:color="auto"/>
              <w:right w:val="single" w:sz="8" w:space="0" w:color="auto"/>
            </w:tcBorders>
            <w:shd w:val="clear" w:color="000000" w:fill="C0C0C0"/>
            <w:noWrap/>
            <w:vAlign w:val="bottom"/>
            <w:hideMark/>
          </w:tcPr>
          <w:p w:rsidR="00996E50" w:rsidRPr="00996E50" w:rsidRDefault="00996E50" w:rsidP="00996E50">
            <w:pPr>
              <w:spacing w:after="0" w:line="240" w:lineRule="auto"/>
              <w:rPr>
                <w:rFonts w:eastAsia="Times New Roman" w:cs="Calibri"/>
                <w:color w:val="000000"/>
                <w:sz w:val="20"/>
                <w:szCs w:val="20"/>
                <w:lang w:eastAsia="el-GR"/>
              </w:rPr>
            </w:pPr>
            <w:r w:rsidRPr="00996E50">
              <w:rPr>
                <w:rFonts w:eastAsia="Times New Roman" w:cs="Calibri"/>
                <w:color w:val="000000"/>
                <w:sz w:val="20"/>
                <w:szCs w:val="20"/>
                <w:lang w:eastAsia="el-GR"/>
              </w:rPr>
              <w:t> </w:t>
            </w:r>
          </w:p>
        </w:tc>
      </w:tr>
    </w:tbl>
    <w:p w:rsidR="00996E50" w:rsidRDefault="00996E50" w:rsidP="004F7D99">
      <w:pPr>
        <w:sectPr w:rsidR="00996E50" w:rsidSect="000C0723">
          <w:pgSz w:w="16838" w:h="11906" w:orient="landscape"/>
          <w:pgMar w:top="340" w:right="1440" w:bottom="340" w:left="1440" w:header="709" w:footer="0" w:gutter="0"/>
          <w:cols w:space="708"/>
          <w:docGrid w:linePitch="360"/>
        </w:sectPr>
      </w:pPr>
    </w:p>
    <w:p w:rsidR="00E23255" w:rsidRDefault="00E23255" w:rsidP="004F7D99">
      <w:pPr>
        <w:rPr>
          <w:lang w:val="en-US"/>
        </w:rPr>
      </w:pPr>
    </w:p>
    <w:tbl>
      <w:tblPr>
        <w:tblW w:w="12400" w:type="dxa"/>
        <w:tblInd w:w="91" w:type="dxa"/>
        <w:tblLook w:val="04A0"/>
      </w:tblPr>
      <w:tblGrid>
        <w:gridCol w:w="640"/>
        <w:gridCol w:w="4660"/>
        <w:gridCol w:w="1780"/>
        <w:gridCol w:w="1900"/>
        <w:gridCol w:w="1660"/>
        <w:gridCol w:w="1760"/>
      </w:tblGrid>
      <w:tr w:rsidR="00852C8C" w:rsidRPr="00852C8C" w:rsidTr="00852C8C">
        <w:trPr>
          <w:trHeight w:val="255"/>
        </w:trPr>
        <w:tc>
          <w:tcPr>
            <w:tcW w:w="5300" w:type="dxa"/>
            <w:gridSpan w:val="2"/>
            <w:tcBorders>
              <w:top w:val="nil"/>
              <w:left w:val="nil"/>
              <w:bottom w:val="nil"/>
              <w:right w:val="nil"/>
            </w:tcBorders>
            <w:shd w:val="clear" w:color="auto" w:fill="auto"/>
            <w:noWrap/>
            <w:vAlign w:val="bottom"/>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 xml:space="preserve">ΕΛΛΗΝΙΚΗ ΔΗΜΟΚΡΑΤΙΑ </w:t>
            </w:r>
          </w:p>
        </w:tc>
        <w:tc>
          <w:tcPr>
            <w:tcW w:w="178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c>
          <w:tcPr>
            <w:tcW w:w="190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c>
          <w:tcPr>
            <w:tcW w:w="166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c>
          <w:tcPr>
            <w:tcW w:w="176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r>
      <w:tr w:rsidR="00852C8C" w:rsidRPr="00852C8C" w:rsidTr="00852C8C">
        <w:trPr>
          <w:trHeight w:val="255"/>
        </w:trPr>
        <w:tc>
          <w:tcPr>
            <w:tcW w:w="5300" w:type="dxa"/>
            <w:gridSpan w:val="2"/>
            <w:tcBorders>
              <w:top w:val="nil"/>
              <w:left w:val="nil"/>
              <w:bottom w:val="nil"/>
              <w:right w:val="nil"/>
            </w:tcBorders>
            <w:shd w:val="clear" w:color="auto" w:fill="auto"/>
            <w:noWrap/>
            <w:vAlign w:val="bottom"/>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ΝΟΜΟΣ ΑΤΤΙΚΗΣ</w:t>
            </w:r>
          </w:p>
        </w:tc>
        <w:tc>
          <w:tcPr>
            <w:tcW w:w="178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c>
          <w:tcPr>
            <w:tcW w:w="190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c>
          <w:tcPr>
            <w:tcW w:w="166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c>
          <w:tcPr>
            <w:tcW w:w="176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i/>
                <w:iCs/>
                <w:color w:val="000000"/>
                <w:sz w:val="20"/>
                <w:szCs w:val="20"/>
                <w:lang w:eastAsia="el-GR"/>
              </w:rPr>
            </w:pPr>
          </w:p>
        </w:tc>
      </w:tr>
      <w:tr w:rsidR="00852C8C" w:rsidRPr="00852C8C" w:rsidTr="00852C8C">
        <w:trPr>
          <w:trHeight w:val="225"/>
        </w:trPr>
        <w:tc>
          <w:tcPr>
            <w:tcW w:w="5300" w:type="dxa"/>
            <w:gridSpan w:val="2"/>
            <w:tcBorders>
              <w:top w:val="nil"/>
              <w:left w:val="nil"/>
              <w:bottom w:val="nil"/>
              <w:right w:val="nil"/>
            </w:tcBorders>
            <w:shd w:val="clear" w:color="auto" w:fill="auto"/>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ΔΗΜΟΣ ΑΓΙΑΣ ΠΑΡΑΣΚΕΥΗΣ</w:t>
            </w:r>
          </w:p>
        </w:tc>
        <w:tc>
          <w:tcPr>
            <w:tcW w:w="178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rPr>
                <w:rFonts w:ascii="Arial" w:eastAsia="Times New Roman" w:hAnsi="Arial" w:cs="Arial"/>
                <w:sz w:val="20"/>
                <w:szCs w:val="20"/>
                <w:lang w:eastAsia="el-GR"/>
              </w:rPr>
            </w:pPr>
          </w:p>
        </w:tc>
        <w:tc>
          <w:tcPr>
            <w:tcW w:w="190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rPr>
                <w:rFonts w:ascii="Arial" w:eastAsia="Times New Roman" w:hAnsi="Arial" w:cs="Arial"/>
                <w:sz w:val="20"/>
                <w:szCs w:val="20"/>
                <w:lang w:eastAsia="el-GR"/>
              </w:rPr>
            </w:pPr>
          </w:p>
        </w:tc>
        <w:tc>
          <w:tcPr>
            <w:tcW w:w="166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rPr>
                <w:rFonts w:ascii="Arial" w:eastAsia="Times New Roman" w:hAnsi="Arial" w:cs="Arial"/>
                <w:sz w:val="20"/>
                <w:szCs w:val="20"/>
                <w:lang w:eastAsia="el-GR"/>
              </w:rPr>
            </w:pPr>
          </w:p>
        </w:tc>
        <w:tc>
          <w:tcPr>
            <w:tcW w:w="1760" w:type="dxa"/>
            <w:tcBorders>
              <w:top w:val="nil"/>
              <w:left w:val="nil"/>
              <w:bottom w:val="nil"/>
              <w:right w:val="nil"/>
            </w:tcBorders>
            <w:shd w:val="clear" w:color="auto" w:fill="auto"/>
            <w:noWrap/>
            <w:vAlign w:val="bottom"/>
            <w:hideMark/>
          </w:tcPr>
          <w:p w:rsidR="00852C8C" w:rsidRPr="00852C8C" w:rsidRDefault="00852C8C" w:rsidP="00852C8C">
            <w:pPr>
              <w:spacing w:after="0" w:line="240" w:lineRule="auto"/>
              <w:rPr>
                <w:rFonts w:ascii="Arial" w:eastAsia="Times New Roman" w:hAnsi="Arial" w:cs="Arial"/>
                <w:sz w:val="20"/>
                <w:szCs w:val="20"/>
                <w:lang w:eastAsia="el-GR"/>
              </w:rPr>
            </w:pPr>
          </w:p>
        </w:tc>
      </w:tr>
      <w:tr w:rsidR="00852C8C" w:rsidRPr="00852C8C" w:rsidTr="00852C8C">
        <w:trPr>
          <w:trHeight w:val="240"/>
        </w:trPr>
        <w:tc>
          <w:tcPr>
            <w:tcW w:w="12400" w:type="dxa"/>
            <w:gridSpan w:val="6"/>
            <w:tcBorders>
              <w:top w:val="nil"/>
              <w:left w:val="nil"/>
              <w:bottom w:val="nil"/>
              <w:right w:val="nil"/>
            </w:tcBorders>
            <w:shd w:val="clear" w:color="auto" w:fill="auto"/>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 xml:space="preserve">ΤΡΙΜΗΝΙΑΙΑ ΕΚΘΕΣΗ </w:t>
            </w:r>
          </w:p>
        </w:tc>
      </w:tr>
      <w:tr w:rsidR="00852C8C" w:rsidRPr="00852C8C" w:rsidTr="00852C8C">
        <w:trPr>
          <w:trHeight w:val="240"/>
        </w:trPr>
        <w:tc>
          <w:tcPr>
            <w:tcW w:w="12400" w:type="dxa"/>
            <w:gridSpan w:val="6"/>
            <w:tcBorders>
              <w:top w:val="nil"/>
              <w:left w:val="nil"/>
              <w:bottom w:val="single" w:sz="8" w:space="0" w:color="auto"/>
              <w:right w:val="nil"/>
            </w:tcBorders>
            <w:shd w:val="clear" w:color="auto" w:fill="auto"/>
            <w:noWrap/>
            <w:vAlign w:val="bottom"/>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ΣΤΟΙΧΕΙΑ ΙΣΟΛΟΓΙΣΜΟΥ   Β΄ ΤΡΙΜΗΝΟΥ 2015</w:t>
            </w:r>
          </w:p>
        </w:tc>
      </w:tr>
      <w:tr w:rsidR="00852C8C" w:rsidRPr="00852C8C" w:rsidTr="00852C8C">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18"/>
                <w:szCs w:val="18"/>
                <w:lang w:eastAsia="el-GR"/>
              </w:rPr>
            </w:pPr>
            <w:r w:rsidRPr="00852C8C">
              <w:rPr>
                <w:rFonts w:ascii="Arial" w:eastAsia="Times New Roman" w:hAnsi="Arial" w:cs="Arial"/>
                <w:color w:val="000000"/>
                <w:sz w:val="18"/>
                <w:szCs w:val="18"/>
                <w:lang w:eastAsia="el-GR"/>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18"/>
                <w:szCs w:val="18"/>
                <w:lang w:eastAsia="el-GR"/>
              </w:rPr>
            </w:pPr>
            <w:r w:rsidRPr="00852C8C">
              <w:rPr>
                <w:rFonts w:ascii="Arial" w:eastAsia="Times New Roman" w:hAnsi="Arial" w:cs="Arial"/>
                <w:b/>
                <w:bCs/>
                <w:color w:val="000000"/>
                <w:sz w:val="18"/>
                <w:szCs w:val="18"/>
                <w:lang w:eastAsia="el-GR"/>
              </w:rPr>
              <w:t>τέλος Προηγούμενου έτους (31/12/2014)</w:t>
            </w:r>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18"/>
                <w:szCs w:val="18"/>
                <w:lang w:eastAsia="el-GR"/>
              </w:rPr>
            </w:pPr>
            <w:r w:rsidRPr="00852C8C">
              <w:rPr>
                <w:rFonts w:ascii="Arial" w:eastAsia="Times New Roman" w:hAnsi="Arial" w:cs="Arial"/>
                <w:b/>
                <w:bCs/>
                <w:color w:val="000000"/>
                <w:sz w:val="18"/>
                <w:szCs w:val="18"/>
                <w:lang w:eastAsia="el-GR"/>
              </w:rPr>
              <w:t>A' Τρίμηνο 2015</w:t>
            </w:r>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18"/>
                <w:szCs w:val="18"/>
                <w:lang w:eastAsia="el-GR"/>
              </w:rPr>
            </w:pPr>
            <w:r w:rsidRPr="00852C8C">
              <w:rPr>
                <w:rFonts w:ascii="Arial" w:eastAsia="Times New Roman" w:hAnsi="Arial" w:cs="Arial"/>
                <w:b/>
                <w:bCs/>
                <w:color w:val="000000"/>
                <w:sz w:val="18"/>
                <w:szCs w:val="18"/>
                <w:lang w:eastAsia="el-GR"/>
              </w:rPr>
              <w:t>Β' Τρίμηνο 2015</w:t>
            </w:r>
          </w:p>
        </w:tc>
        <w:tc>
          <w:tcPr>
            <w:tcW w:w="1760" w:type="dxa"/>
            <w:tcBorders>
              <w:top w:val="nil"/>
              <w:left w:val="nil"/>
              <w:bottom w:val="nil"/>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18"/>
                <w:szCs w:val="18"/>
                <w:lang w:eastAsia="el-GR"/>
              </w:rPr>
            </w:pPr>
            <w:r w:rsidRPr="00852C8C">
              <w:rPr>
                <w:rFonts w:ascii="Arial" w:eastAsia="Times New Roman" w:hAnsi="Arial" w:cs="Arial"/>
                <w:b/>
                <w:bCs/>
                <w:color w:val="000000"/>
                <w:sz w:val="18"/>
                <w:szCs w:val="18"/>
                <w:lang w:eastAsia="el-GR"/>
              </w:rPr>
              <w:t>Μεταβολή</w:t>
            </w:r>
          </w:p>
        </w:tc>
      </w:tr>
      <w:tr w:rsidR="00852C8C" w:rsidRPr="00852C8C" w:rsidTr="00852C8C">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852C8C" w:rsidRPr="00852C8C" w:rsidRDefault="00852C8C" w:rsidP="00852C8C">
            <w:pPr>
              <w:spacing w:after="0" w:line="240" w:lineRule="auto"/>
              <w:rPr>
                <w:rFonts w:ascii="Arial" w:eastAsia="Times New Roman" w:hAnsi="Arial" w:cs="Arial"/>
                <w:color w:val="000000"/>
                <w:sz w:val="18"/>
                <w:szCs w:val="18"/>
                <w:lang w:eastAsia="el-GR"/>
              </w:rPr>
            </w:pPr>
          </w:p>
        </w:tc>
        <w:tc>
          <w:tcPr>
            <w:tcW w:w="1780" w:type="dxa"/>
            <w:vMerge/>
            <w:tcBorders>
              <w:top w:val="nil"/>
              <w:left w:val="single" w:sz="8" w:space="0" w:color="auto"/>
              <w:bottom w:val="single" w:sz="8" w:space="0" w:color="000000"/>
              <w:right w:val="single" w:sz="8" w:space="0" w:color="auto"/>
            </w:tcBorders>
            <w:vAlign w:val="center"/>
            <w:hideMark/>
          </w:tcPr>
          <w:p w:rsidR="00852C8C" w:rsidRPr="00852C8C" w:rsidRDefault="00852C8C" w:rsidP="00852C8C">
            <w:pPr>
              <w:spacing w:after="0" w:line="240" w:lineRule="auto"/>
              <w:rPr>
                <w:rFonts w:ascii="Arial" w:eastAsia="Times New Roman" w:hAnsi="Arial" w:cs="Arial"/>
                <w:b/>
                <w:bCs/>
                <w:color w:val="000000"/>
                <w:sz w:val="18"/>
                <w:szCs w:val="18"/>
                <w:lang w:eastAsia="el-GR"/>
              </w:rPr>
            </w:pPr>
          </w:p>
        </w:tc>
        <w:tc>
          <w:tcPr>
            <w:tcW w:w="1900" w:type="dxa"/>
            <w:vMerge/>
            <w:tcBorders>
              <w:top w:val="nil"/>
              <w:left w:val="single" w:sz="8" w:space="0" w:color="auto"/>
              <w:bottom w:val="single" w:sz="8" w:space="0" w:color="000000"/>
              <w:right w:val="single" w:sz="8" w:space="0" w:color="auto"/>
            </w:tcBorders>
            <w:vAlign w:val="center"/>
            <w:hideMark/>
          </w:tcPr>
          <w:p w:rsidR="00852C8C" w:rsidRPr="00852C8C" w:rsidRDefault="00852C8C" w:rsidP="00852C8C">
            <w:pPr>
              <w:spacing w:after="0" w:line="240" w:lineRule="auto"/>
              <w:rPr>
                <w:rFonts w:ascii="Arial" w:eastAsia="Times New Roman" w:hAnsi="Arial" w:cs="Arial"/>
                <w:b/>
                <w:bCs/>
                <w:color w:val="000000"/>
                <w:sz w:val="18"/>
                <w:szCs w:val="18"/>
                <w:lang w:eastAsia="el-GR"/>
              </w:rPr>
            </w:pPr>
          </w:p>
        </w:tc>
        <w:tc>
          <w:tcPr>
            <w:tcW w:w="1660" w:type="dxa"/>
            <w:vMerge/>
            <w:tcBorders>
              <w:top w:val="nil"/>
              <w:left w:val="single" w:sz="8" w:space="0" w:color="auto"/>
              <w:bottom w:val="single" w:sz="8" w:space="0" w:color="000000"/>
              <w:right w:val="single" w:sz="8" w:space="0" w:color="auto"/>
            </w:tcBorders>
            <w:vAlign w:val="center"/>
            <w:hideMark/>
          </w:tcPr>
          <w:p w:rsidR="00852C8C" w:rsidRPr="00852C8C" w:rsidRDefault="00852C8C" w:rsidP="00852C8C">
            <w:pPr>
              <w:spacing w:after="0" w:line="240" w:lineRule="auto"/>
              <w:rPr>
                <w:rFonts w:ascii="Arial" w:eastAsia="Times New Roman" w:hAnsi="Arial" w:cs="Arial"/>
                <w:b/>
                <w:bCs/>
                <w:color w:val="000000"/>
                <w:sz w:val="18"/>
                <w:szCs w:val="18"/>
                <w:lang w:eastAsia="el-GR"/>
              </w:rPr>
            </w:pP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18"/>
                <w:szCs w:val="18"/>
                <w:lang w:eastAsia="el-GR"/>
              </w:rPr>
            </w:pPr>
            <w:r w:rsidRPr="00852C8C">
              <w:rPr>
                <w:rFonts w:ascii="Arial" w:eastAsia="Times New Roman" w:hAnsi="Arial" w:cs="Arial"/>
                <w:b/>
                <w:bCs/>
                <w:color w:val="000000"/>
                <w:sz w:val="18"/>
                <w:szCs w:val="18"/>
                <w:lang w:eastAsia="el-GR"/>
              </w:rPr>
              <w:t>%</w:t>
            </w:r>
          </w:p>
        </w:tc>
      </w:tr>
      <w:tr w:rsidR="00852C8C" w:rsidRPr="00852C8C" w:rsidTr="00852C8C">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2</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3\2</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Α.</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ΑΠΑΙΤΗΣΕΙΣ</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7.640.742,05</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7.752.427,50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7.800.176,44</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100,62%</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 </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Απαιτήσεις από Ελληνικό Δημόσιο</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Λοιπές απαιτήσεις</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7.640.742,05</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7.752.427,50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7.800.176,44</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100,62%</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Β.</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ΔΙΑΘΕΣΙΜΑ</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5.807.931,28</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6.269.339,59</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5.928.795,07</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94,57%</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Ταμείο</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28.907,43</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36.930,10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33.314,50</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90,21%</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Καταθέσεις όψεως και προθεσμίας</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5.779.023,85</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6.232.409,49</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5.895.481,47</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94,59%</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Γ</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83.893,27</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83.893,27</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83.893,27</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Έξοδα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Έσοδα χρήσεως εισπρακτέα</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83.893,27</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83.893,27</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83.893,27</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Λοιποί μεταβατικοί λογαριασμοί ενεργητικού</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0,00%</w:t>
            </w:r>
          </w:p>
        </w:tc>
      </w:tr>
      <w:tr w:rsidR="00852C8C" w:rsidRPr="00852C8C" w:rsidTr="00852C8C">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 </w:t>
            </w:r>
          </w:p>
        </w:tc>
      </w:tr>
      <w:tr w:rsidR="00852C8C" w:rsidRPr="00852C8C" w:rsidTr="00852C8C">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2</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center"/>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3\2</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Α.</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3.702.632,24</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3.638.787,08</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3.574.941,92</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98,25%</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w:t>
            </w:r>
          </w:p>
        </w:tc>
        <w:tc>
          <w:tcPr>
            <w:tcW w:w="466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Μακροπρόθεσμες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3.468.533,35</w:t>
            </w:r>
          </w:p>
        </w:tc>
        <w:tc>
          <w:tcPr>
            <w:tcW w:w="190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3.468.533,35</w:t>
            </w:r>
          </w:p>
        </w:tc>
        <w:tc>
          <w:tcPr>
            <w:tcW w:w="166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3.468.533,35</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2.</w:t>
            </w:r>
          </w:p>
        </w:tc>
        <w:tc>
          <w:tcPr>
            <w:tcW w:w="466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Βραχυπρόθεσμες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234.098,89</w:t>
            </w:r>
          </w:p>
        </w:tc>
        <w:tc>
          <w:tcPr>
            <w:tcW w:w="190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170.253,73</w:t>
            </w:r>
          </w:p>
        </w:tc>
        <w:tc>
          <w:tcPr>
            <w:tcW w:w="166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106.408,57</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62,50%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Β.</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ΛΟΙΠΕΣ ΥΠΟΧΡΕΩΣΕΙΣ</w:t>
            </w:r>
          </w:p>
        </w:tc>
        <w:tc>
          <w:tcPr>
            <w:tcW w:w="178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3.312.648,81</w:t>
            </w:r>
          </w:p>
        </w:tc>
        <w:tc>
          <w:tcPr>
            <w:tcW w:w="1900" w:type="dxa"/>
            <w:tcBorders>
              <w:top w:val="nil"/>
              <w:left w:val="nil"/>
              <w:bottom w:val="single" w:sz="8" w:space="0" w:color="auto"/>
              <w:right w:val="single" w:sz="8" w:space="0" w:color="auto"/>
            </w:tcBorders>
            <w:shd w:val="clear" w:color="auto" w:fill="auto"/>
            <w:hideMark/>
          </w:tcPr>
          <w:p w:rsidR="00852C8C" w:rsidRPr="00852C8C" w:rsidRDefault="0025645E" w:rsidP="00852C8C">
            <w:pPr>
              <w:spacing w:after="0" w:line="240" w:lineRule="auto"/>
              <w:jc w:val="right"/>
              <w:rPr>
                <w:rFonts w:ascii="Arial" w:eastAsia="Times New Roman" w:hAnsi="Arial" w:cs="Arial"/>
                <w:b/>
                <w:bCs/>
                <w:color w:val="000000"/>
                <w:sz w:val="20"/>
                <w:szCs w:val="20"/>
                <w:lang w:eastAsia="el-GR"/>
              </w:rPr>
            </w:pPr>
            <w:r w:rsidRPr="0025645E">
              <w:rPr>
                <w:rFonts w:ascii="Arial" w:eastAsia="Times New Roman" w:hAnsi="Arial" w:cs="Arial"/>
                <w:b/>
                <w:bCs/>
                <w:color w:val="000000"/>
                <w:sz w:val="20"/>
                <w:szCs w:val="20"/>
                <w:lang w:eastAsia="el-GR"/>
              </w:rPr>
              <w:t>3.463.753,02</w:t>
            </w:r>
          </w:p>
        </w:tc>
        <w:tc>
          <w:tcPr>
            <w:tcW w:w="1660" w:type="dxa"/>
            <w:tcBorders>
              <w:top w:val="nil"/>
              <w:left w:val="nil"/>
              <w:bottom w:val="single" w:sz="8" w:space="0" w:color="auto"/>
              <w:right w:val="single" w:sz="8" w:space="0" w:color="auto"/>
            </w:tcBorders>
            <w:shd w:val="clear" w:color="auto" w:fill="auto"/>
            <w:hideMark/>
          </w:tcPr>
          <w:p w:rsidR="00852C8C" w:rsidRPr="00852C8C" w:rsidRDefault="0025645E" w:rsidP="00852C8C">
            <w:pPr>
              <w:spacing w:after="0" w:line="240" w:lineRule="auto"/>
              <w:jc w:val="right"/>
              <w:rPr>
                <w:rFonts w:ascii="Arial" w:eastAsia="Times New Roman" w:hAnsi="Arial" w:cs="Arial"/>
                <w:b/>
                <w:bCs/>
                <w:color w:val="000000"/>
                <w:sz w:val="20"/>
                <w:szCs w:val="20"/>
                <w:lang w:eastAsia="el-GR"/>
              </w:rPr>
            </w:pPr>
            <w:r w:rsidRPr="0025645E">
              <w:rPr>
                <w:rFonts w:ascii="Arial" w:eastAsia="Times New Roman" w:hAnsi="Arial" w:cs="Arial"/>
                <w:b/>
                <w:bCs/>
                <w:color w:val="000000"/>
                <w:sz w:val="20"/>
                <w:szCs w:val="20"/>
                <w:lang w:eastAsia="el-GR"/>
              </w:rPr>
              <w:t>3.066.157,03</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25645E" w:rsidP="00852C8C">
            <w:pPr>
              <w:spacing w:after="0" w:line="240" w:lineRule="auto"/>
              <w:jc w:val="right"/>
              <w:rPr>
                <w:rFonts w:ascii="Arial" w:eastAsia="Times New Roman" w:hAnsi="Arial" w:cs="Arial"/>
                <w:b/>
                <w:bCs/>
                <w:color w:val="000000"/>
                <w:sz w:val="20"/>
                <w:szCs w:val="20"/>
                <w:lang w:eastAsia="el-GR"/>
              </w:rPr>
            </w:pPr>
            <w:r w:rsidRPr="0025645E">
              <w:rPr>
                <w:rFonts w:ascii="Arial" w:eastAsia="Times New Roman" w:hAnsi="Arial" w:cs="Arial"/>
                <w:b/>
                <w:bCs/>
                <w:color w:val="000000"/>
                <w:sz w:val="20"/>
                <w:szCs w:val="20"/>
                <w:lang w:eastAsia="el-GR"/>
              </w:rPr>
              <w:t>88,52%</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Προμηθευτές</w:t>
            </w:r>
          </w:p>
        </w:tc>
        <w:tc>
          <w:tcPr>
            <w:tcW w:w="1780" w:type="dxa"/>
            <w:tcBorders>
              <w:top w:val="nil"/>
              <w:left w:val="nil"/>
              <w:bottom w:val="single" w:sz="8" w:space="0" w:color="auto"/>
              <w:right w:val="single" w:sz="8" w:space="0" w:color="auto"/>
            </w:tcBorders>
            <w:shd w:val="clear" w:color="auto" w:fill="auto"/>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1.561.454,44</w:t>
            </w:r>
          </w:p>
        </w:tc>
        <w:tc>
          <w:tcPr>
            <w:tcW w:w="1900" w:type="dxa"/>
            <w:tcBorders>
              <w:top w:val="nil"/>
              <w:left w:val="nil"/>
              <w:bottom w:val="single" w:sz="8" w:space="0" w:color="auto"/>
              <w:right w:val="single" w:sz="8" w:space="0" w:color="auto"/>
            </w:tcBorders>
            <w:shd w:val="clear" w:color="auto" w:fill="auto"/>
            <w:hideMark/>
          </w:tcPr>
          <w:p w:rsidR="00852C8C" w:rsidRPr="00852C8C" w:rsidRDefault="0025645E" w:rsidP="00852C8C">
            <w:pPr>
              <w:spacing w:after="0" w:line="240" w:lineRule="auto"/>
              <w:jc w:val="right"/>
              <w:rPr>
                <w:rFonts w:ascii="Arial" w:eastAsia="Times New Roman" w:hAnsi="Arial" w:cs="Arial"/>
                <w:color w:val="000000"/>
                <w:sz w:val="20"/>
                <w:szCs w:val="20"/>
                <w:lang w:eastAsia="el-GR"/>
              </w:rPr>
            </w:pPr>
            <w:bookmarkStart w:id="0" w:name="OLE_LINK1"/>
            <w:r w:rsidRPr="0025645E">
              <w:rPr>
                <w:rFonts w:ascii="Arial" w:eastAsia="Times New Roman" w:hAnsi="Arial" w:cs="Arial"/>
                <w:color w:val="000000"/>
                <w:sz w:val="20"/>
                <w:szCs w:val="20"/>
                <w:lang w:eastAsia="el-GR"/>
              </w:rPr>
              <w:t>1.544.284,32</w:t>
            </w:r>
            <w:bookmarkEnd w:id="0"/>
          </w:p>
        </w:tc>
        <w:tc>
          <w:tcPr>
            <w:tcW w:w="1660" w:type="dxa"/>
            <w:tcBorders>
              <w:top w:val="nil"/>
              <w:left w:val="nil"/>
              <w:bottom w:val="single" w:sz="8" w:space="0" w:color="auto"/>
              <w:right w:val="single" w:sz="8" w:space="0" w:color="auto"/>
            </w:tcBorders>
            <w:shd w:val="clear" w:color="auto" w:fill="auto"/>
            <w:hideMark/>
          </w:tcPr>
          <w:p w:rsidR="00852C8C" w:rsidRPr="00852C8C" w:rsidRDefault="0025645E" w:rsidP="00852C8C">
            <w:pPr>
              <w:spacing w:after="0" w:line="240" w:lineRule="auto"/>
              <w:jc w:val="right"/>
              <w:rPr>
                <w:rFonts w:ascii="Arial" w:eastAsia="Times New Roman" w:hAnsi="Arial" w:cs="Arial"/>
                <w:color w:val="000000"/>
                <w:sz w:val="20"/>
                <w:szCs w:val="20"/>
                <w:lang w:eastAsia="el-GR"/>
              </w:rPr>
            </w:pPr>
            <w:bookmarkStart w:id="1" w:name="OLE_LINK2"/>
            <w:r>
              <w:rPr>
                <w:rFonts w:ascii="Arial" w:eastAsia="Times New Roman" w:hAnsi="Arial" w:cs="Arial"/>
                <w:color w:val="000000"/>
                <w:sz w:val="20"/>
                <w:szCs w:val="20"/>
                <w:lang w:eastAsia="el-GR"/>
              </w:rPr>
              <w:t>1.308.051,30</w:t>
            </w:r>
            <w:bookmarkEnd w:id="1"/>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100,35%</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Υποχρεώσεις από φόρους τέλη</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43.810,22</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65.029,28</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32.264,99</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49,62%</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4.</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Ασφαλιστικοί οργανισμοί</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90.860,19</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113.402,00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70.826,52</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62,46%</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5.</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Λοιπές βραχυπρόθεσμες υποχρεώσεις</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1.616.735,97</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1.741.037,42</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1.655.014,22</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95,06%</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Γ</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89.985,68</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89.985,68</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89.985,68</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Έσοδα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2.</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Έξοδα χρήσεως δουλευμένα (πληρωτέα)</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89.985,68</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89.985,68</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89.985,68</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100,00%</w:t>
            </w:r>
          </w:p>
        </w:tc>
      </w:tr>
      <w:tr w:rsidR="00852C8C" w:rsidRPr="00852C8C" w:rsidTr="00852C8C">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3.</w:t>
            </w:r>
          </w:p>
        </w:tc>
        <w:tc>
          <w:tcPr>
            <w:tcW w:w="4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Λοιποί μεταβατικοί λογαριασμοί παθητικού</w:t>
            </w:r>
          </w:p>
        </w:tc>
        <w:tc>
          <w:tcPr>
            <w:tcW w:w="178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90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6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color w:val="000000"/>
                <w:sz w:val="20"/>
                <w:szCs w:val="20"/>
                <w:lang w:eastAsia="el-GR"/>
              </w:rPr>
            </w:pPr>
            <w:r w:rsidRPr="00852C8C">
              <w:rPr>
                <w:rFonts w:ascii="Arial" w:eastAsia="Times New Roman" w:hAnsi="Arial" w:cs="Arial"/>
                <w:color w:val="000000"/>
                <w:sz w:val="20"/>
                <w:szCs w:val="20"/>
                <w:lang w:eastAsia="el-GR"/>
              </w:rPr>
              <w:t>0,00</w:t>
            </w:r>
          </w:p>
        </w:tc>
        <w:tc>
          <w:tcPr>
            <w:tcW w:w="1760" w:type="dxa"/>
            <w:tcBorders>
              <w:top w:val="nil"/>
              <w:left w:val="nil"/>
              <w:bottom w:val="single" w:sz="8" w:space="0" w:color="auto"/>
              <w:right w:val="single" w:sz="8" w:space="0" w:color="auto"/>
            </w:tcBorders>
            <w:shd w:val="clear" w:color="000000" w:fill="FFFFFF"/>
            <w:hideMark/>
          </w:tcPr>
          <w:p w:rsidR="00852C8C" w:rsidRPr="00852C8C" w:rsidRDefault="00852C8C" w:rsidP="00852C8C">
            <w:pPr>
              <w:spacing w:after="0" w:line="240" w:lineRule="auto"/>
              <w:jc w:val="right"/>
              <w:rPr>
                <w:rFonts w:ascii="Arial" w:eastAsia="Times New Roman" w:hAnsi="Arial" w:cs="Arial"/>
                <w:b/>
                <w:bCs/>
                <w:color w:val="000000"/>
                <w:sz w:val="20"/>
                <w:szCs w:val="20"/>
                <w:lang w:eastAsia="el-GR"/>
              </w:rPr>
            </w:pPr>
            <w:r w:rsidRPr="00852C8C">
              <w:rPr>
                <w:rFonts w:ascii="Arial" w:eastAsia="Times New Roman" w:hAnsi="Arial" w:cs="Arial"/>
                <w:b/>
                <w:bCs/>
                <w:color w:val="000000"/>
                <w:sz w:val="20"/>
                <w:szCs w:val="20"/>
                <w:lang w:eastAsia="el-GR"/>
              </w:rPr>
              <w:t>0,00%</w:t>
            </w:r>
          </w:p>
        </w:tc>
      </w:tr>
    </w:tbl>
    <w:p w:rsidR="00E23255" w:rsidRPr="00E23255" w:rsidRDefault="00E23255" w:rsidP="004F7D99">
      <w:pPr>
        <w:rPr>
          <w:lang w:val="en-US"/>
        </w:rPr>
        <w:sectPr w:rsidR="00E23255" w:rsidRPr="00E23255" w:rsidSect="000C0723">
          <w:pgSz w:w="16838" w:h="11906" w:orient="landscape"/>
          <w:pgMar w:top="340" w:right="1440" w:bottom="340" w:left="1440" w:header="709" w:footer="0" w:gutter="0"/>
          <w:cols w:space="708"/>
          <w:docGrid w:linePitch="360"/>
        </w:sectPr>
      </w:pPr>
    </w:p>
    <w:p w:rsidR="00F450F6" w:rsidRPr="00D03852" w:rsidRDefault="00F450F6" w:rsidP="00485694">
      <w:pPr>
        <w:spacing w:after="0" w:line="360" w:lineRule="auto"/>
        <w:jc w:val="both"/>
      </w:pPr>
      <w:r>
        <w:t xml:space="preserve">Γενικά και με βάση τους πίνακες Α και Β, </w:t>
      </w:r>
      <w:r w:rsidR="007700FE" w:rsidRPr="007700FE">
        <w:t xml:space="preserve">και όσον αφορά το </w:t>
      </w:r>
      <w:r w:rsidR="007700FE" w:rsidRPr="00AA55F9">
        <w:rPr>
          <w:b/>
        </w:rPr>
        <w:t>σκέλος των εσόδων</w:t>
      </w:r>
      <w:r w:rsidR="007700FE" w:rsidRPr="007700FE">
        <w:t xml:space="preserve">, το </w:t>
      </w:r>
      <w:r w:rsidR="000E5838">
        <w:t>Β</w:t>
      </w:r>
      <w:r w:rsidR="008911DF">
        <w:t xml:space="preserve">’ τρίμηνο του </w:t>
      </w:r>
      <w:r w:rsidR="007700FE" w:rsidRPr="007700FE">
        <w:t>201</w:t>
      </w:r>
      <w:r w:rsidR="008911DF">
        <w:t>5</w:t>
      </w:r>
      <w:r w:rsidR="007700FE" w:rsidRPr="007700FE">
        <w:t xml:space="preserve">, εισπράχθηκαν </w:t>
      </w:r>
      <w:r w:rsidR="000E5838">
        <w:t>24.702.161</w:t>
      </w:r>
      <w:r w:rsidR="007700FE" w:rsidRPr="007700FE">
        <w:t xml:space="preserve"> €, </w:t>
      </w:r>
      <w:r w:rsidR="00D03852">
        <w:t>πλέον</w:t>
      </w:r>
      <w:r w:rsidR="007700FE" w:rsidRPr="007700FE">
        <w:t xml:space="preserve"> του χρηματικού υπολοίπου 201</w:t>
      </w:r>
      <w:r w:rsidR="000E5838">
        <w:t>4</w:t>
      </w:r>
      <w:r w:rsidR="007700FE" w:rsidRPr="007700FE">
        <w:t xml:space="preserve"> ποσού </w:t>
      </w:r>
      <w:r w:rsidR="008911DF" w:rsidRPr="008911DF">
        <w:t>5.807.931</w:t>
      </w:r>
      <w:r w:rsidR="007700FE" w:rsidRPr="007700FE">
        <w:t xml:space="preserve"> €, </w:t>
      </w:r>
      <w:r w:rsidR="007700FE" w:rsidRPr="00D03852">
        <w:t xml:space="preserve">έναντι </w:t>
      </w:r>
      <w:r w:rsidR="00D03852" w:rsidRPr="00D03852">
        <w:t>στόχου</w:t>
      </w:r>
      <w:r w:rsidR="007C7472" w:rsidRPr="00D03852">
        <w:t xml:space="preserve"> </w:t>
      </w:r>
      <w:r w:rsidR="00D03852" w:rsidRPr="00D03852">
        <w:t>μ</w:t>
      </w:r>
      <w:r w:rsidR="007700FE" w:rsidRPr="00D03852">
        <w:t xml:space="preserve">ε βάση τον πίνακα στοχοθεσίας, το αντίστοιχο διάστημα </w:t>
      </w:r>
      <w:r w:rsidR="000E5838" w:rsidRPr="000E5838">
        <w:t>32.149.498</w:t>
      </w:r>
      <w:r w:rsidR="007700FE" w:rsidRPr="00D03852">
        <w:t xml:space="preserve"> €, που σημαίνει ότι υπάρχει υστέρηση στο σκέλος των εσόδων κατά </w:t>
      </w:r>
      <w:r w:rsidR="00D03852" w:rsidRPr="00D03852">
        <w:t>-</w:t>
      </w:r>
      <w:r w:rsidR="000E5838">
        <w:t>-1.639.405</w:t>
      </w:r>
      <w:r w:rsidR="007700FE" w:rsidRPr="00D03852">
        <w:t xml:space="preserve"> € ποσοστό </w:t>
      </w:r>
      <w:r w:rsidR="000E5838">
        <w:t>-5,10</w:t>
      </w:r>
      <w:r w:rsidR="007700FE" w:rsidRPr="00D03852">
        <w:t>%.</w:t>
      </w:r>
    </w:p>
    <w:p w:rsidR="00485694" w:rsidRDefault="0020549E" w:rsidP="00485694">
      <w:pPr>
        <w:spacing w:after="0" w:line="360" w:lineRule="auto"/>
        <w:jc w:val="both"/>
      </w:pPr>
      <w:r w:rsidRPr="00E2101E">
        <w:t xml:space="preserve">Ειδικότερα </w:t>
      </w:r>
      <w:r w:rsidR="004E29E6" w:rsidRPr="00E2101E">
        <w:t xml:space="preserve">το συνολικό άθροισμα των </w:t>
      </w:r>
      <w:r w:rsidR="00E2101E" w:rsidRPr="00E2101E">
        <w:t xml:space="preserve">εισπραχθέντων </w:t>
      </w:r>
      <w:r w:rsidR="004E29E6" w:rsidRPr="00E2101E">
        <w:t xml:space="preserve">ιδίων εσόδων που αφορά τις κατηγορίες 01 έως 05, 07, 11, 14 </w:t>
      </w:r>
      <w:r w:rsidR="00F070BA" w:rsidRPr="00E2101E">
        <w:t>έως</w:t>
      </w:r>
      <w:r w:rsidR="004E29E6" w:rsidRPr="00E2101E">
        <w:t xml:space="preserve"> 16, 21, 22</w:t>
      </w:r>
      <w:r w:rsidR="00485694" w:rsidRPr="00E2101E">
        <w:t xml:space="preserve"> ανέρχεται στο ποσό των </w:t>
      </w:r>
      <w:r w:rsidR="000E5838">
        <w:t>4.506.222</w:t>
      </w:r>
      <w:r w:rsidR="00485694" w:rsidRPr="00E2101E">
        <w:t xml:space="preserve"> €, το οποίο αποκλίνει κατά </w:t>
      </w:r>
      <w:r w:rsidR="00E2101E" w:rsidRPr="00E2101E">
        <w:t>-</w:t>
      </w:r>
      <w:r w:rsidR="000E5838">
        <w:t>-725.917</w:t>
      </w:r>
      <w:r w:rsidR="00485694" w:rsidRPr="00E2101E">
        <w:t xml:space="preserve"> € (-</w:t>
      </w:r>
      <w:r w:rsidR="000E5838" w:rsidRPr="000E5838">
        <w:t>13,87%</w:t>
      </w:r>
      <w:r w:rsidR="00485694" w:rsidRPr="00E2101E">
        <w:t xml:space="preserve">) σε σχέση με τους οικονομικούς στόχους, όπως αυτοί έχουν τεθεί για το </w:t>
      </w:r>
      <w:r w:rsidR="000E5838">
        <w:t>Β</w:t>
      </w:r>
      <w:r w:rsidR="00E2101E" w:rsidRPr="00E2101E">
        <w:t xml:space="preserve">΄ τρίμηνο του </w:t>
      </w:r>
      <w:r w:rsidR="00485694" w:rsidRPr="00E2101E">
        <w:t>201</w:t>
      </w:r>
      <w:r w:rsidR="00E2101E" w:rsidRPr="00E2101E">
        <w:t>5</w:t>
      </w:r>
      <w:r w:rsidR="00485694" w:rsidRPr="00E2101E">
        <w:t xml:space="preserve">, και για το αντίστοιχο διάστημα ανέρχονται στο ποσό των </w:t>
      </w:r>
      <w:r w:rsidR="000E5838">
        <w:t>5.232.140</w:t>
      </w:r>
      <w:r w:rsidR="00485694" w:rsidRPr="00E2101E">
        <w:t xml:space="preserve"> €.</w:t>
      </w:r>
    </w:p>
    <w:tbl>
      <w:tblPr>
        <w:tblStyle w:val="1-5"/>
        <w:tblW w:w="8528" w:type="dxa"/>
        <w:tblLook w:val="04E0"/>
      </w:tblPr>
      <w:tblGrid>
        <w:gridCol w:w="580"/>
        <w:gridCol w:w="2865"/>
        <w:gridCol w:w="1378"/>
        <w:gridCol w:w="1378"/>
        <w:gridCol w:w="1212"/>
        <w:gridCol w:w="1115"/>
      </w:tblGrid>
      <w:tr w:rsidR="005D7176" w:rsidRPr="00F51DD8" w:rsidTr="0036102B">
        <w:trPr>
          <w:cnfStyle w:val="100000000000"/>
          <w:trHeight w:val="225"/>
        </w:trPr>
        <w:tc>
          <w:tcPr>
            <w:cnfStyle w:val="001000000000"/>
            <w:tcW w:w="580" w:type="dxa"/>
            <w:noWrap/>
            <w:hideMark/>
          </w:tcPr>
          <w:p w:rsidR="0020549E" w:rsidRPr="00F51DD8" w:rsidRDefault="0020549E" w:rsidP="0020549E">
            <w:pPr>
              <w:spacing w:after="0" w:line="240" w:lineRule="auto"/>
              <w:jc w:val="center"/>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Κ.Α.</w:t>
            </w:r>
          </w:p>
        </w:tc>
        <w:tc>
          <w:tcPr>
            <w:tcW w:w="2865" w:type="dxa"/>
            <w:noWrap/>
            <w:hideMark/>
          </w:tcPr>
          <w:p w:rsidR="0020549E" w:rsidRPr="00F51DD8" w:rsidRDefault="005D7176" w:rsidP="0020549E">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b w:val="0"/>
                <w:bCs w:val="0"/>
                <w:sz w:val="20"/>
                <w:szCs w:val="20"/>
                <w:lang w:eastAsia="el-GR"/>
              </w:rPr>
              <w:t>Περιγραφή</w:t>
            </w:r>
          </w:p>
        </w:tc>
        <w:tc>
          <w:tcPr>
            <w:tcW w:w="1378" w:type="dxa"/>
            <w:noWrap/>
            <w:hideMark/>
          </w:tcPr>
          <w:p w:rsidR="00E2101E" w:rsidRDefault="0020549E" w:rsidP="00E2101E">
            <w:pPr>
              <w:spacing w:after="0" w:line="240" w:lineRule="auto"/>
              <w:jc w:val="center"/>
              <w:cnfStyle w:val="100000000000"/>
              <w:rPr>
                <w:rFonts w:asciiTheme="minorHAnsi" w:eastAsia="Times New Roman" w:hAnsiTheme="minorHAnsi" w:cs="Arial"/>
                <w:b w:val="0"/>
                <w:bCs w:val="0"/>
                <w:sz w:val="20"/>
                <w:szCs w:val="20"/>
                <w:lang w:eastAsia="el-GR"/>
              </w:rPr>
            </w:pPr>
            <w:r w:rsidRPr="00F51DD8">
              <w:rPr>
                <w:rFonts w:asciiTheme="minorHAnsi" w:eastAsia="Times New Roman" w:hAnsiTheme="minorHAnsi" w:cs="Arial"/>
                <w:sz w:val="20"/>
                <w:szCs w:val="20"/>
                <w:lang w:eastAsia="el-GR"/>
              </w:rPr>
              <w:t>Εισπράξεις</w:t>
            </w:r>
            <w:r w:rsidR="005D7176" w:rsidRPr="00F51DD8">
              <w:rPr>
                <w:rFonts w:asciiTheme="minorHAnsi" w:eastAsia="Times New Roman" w:hAnsiTheme="minorHAnsi" w:cs="Arial"/>
                <w:b w:val="0"/>
                <w:bCs w:val="0"/>
                <w:sz w:val="20"/>
                <w:szCs w:val="20"/>
                <w:lang w:eastAsia="el-GR"/>
              </w:rPr>
              <w:t xml:space="preserve"> </w:t>
            </w:r>
          </w:p>
          <w:p w:rsidR="0020549E" w:rsidRPr="00F51DD8" w:rsidRDefault="00E2101E" w:rsidP="00E2101E">
            <w:pPr>
              <w:spacing w:after="0" w:line="240" w:lineRule="auto"/>
              <w:jc w:val="center"/>
              <w:cnfStyle w:val="100000000000"/>
              <w:rPr>
                <w:rFonts w:asciiTheme="minorHAnsi" w:eastAsia="Times New Roman" w:hAnsiTheme="minorHAnsi" w:cs="Arial"/>
                <w:sz w:val="20"/>
                <w:szCs w:val="20"/>
                <w:lang w:eastAsia="el-GR"/>
              </w:rPr>
            </w:pPr>
            <w:r>
              <w:rPr>
                <w:rFonts w:asciiTheme="minorHAnsi" w:eastAsia="Times New Roman" w:hAnsiTheme="minorHAnsi" w:cs="Arial"/>
                <w:b w:val="0"/>
                <w:bCs w:val="0"/>
                <w:sz w:val="20"/>
                <w:szCs w:val="20"/>
                <w:lang w:eastAsia="el-GR"/>
              </w:rPr>
              <w:t xml:space="preserve"> </w:t>
            </w:r>
            <w:r w:rsidR="00A16167">
              <w:rPr>
                <w:rFonts w:asciiTheme="minorHAnsi" w:eastAsia="Times New Roman" w:hAnsiTheme="minorHAnsi" w:cs="Arial"/>
                <w:b w:val="0"/>
                <w:bCs w:val="0"/>
                <w:sz w:val="20"/>
                <w:szCs w:val="20"/>
                <w:lang w:eastAsia="el-GR"/>
              </w:rPr>
              <w:t xml:space="preserve">Β </w:t>
            </w:r>
            <w:r>
              <w:rPr>
                <w:rFonts w:asciiTheme="minorHAnsi" w:eastAsia="Times New Roman" w:hAnsiTheme="minorHAnsi" w:cs="Arial"/>
                <w:b w:val="0"/>
                <w:bCs w:val="0"/>
                <w:sz w:val="20"/>
                <w:szCs w:val="20"/>
                <w:lang w:eastAsia="el-GR"/>
              </w:rPr>
              <w:t>Τριμήνου</w:t>
            </w:r>
          </w:p>
        </w:tc>
        <w:tc>
          <w:tcPr>
            <w:tcW w:w="1378" w:type="dxa"/>
            <w:noWrap/>
            <w:hideMark/>
          </w:tcPr>
          <w:p w:rsidR="00E2101E" w:rsidRDefault="0020549E" w:rsidP="00A90275">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Στόχος</w:t>
            </w:r>
          </w:p>
          <w:p w:rsidR="0020549E" w:rsidRPr="00F51DD8" w:rsidRDefault="005D7176" w:rsidP="00A16167">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b w:val="0"/>
                <w:bCs w:val="0"/>
                <w:sz w:val="20"/>
                <w:szCs w:val="20"/>
                <w:lang w:eastAsia="el-GR"/>
              </w:rPr>
              <w:t xml:space="preserve"> </w:t>
            </w:r>
            <w:proofErr w:type="spellStart"/>
            <w:r w:rsidR="00A16167">
              <w:rPr>
                <w:rFonts w:asciiTheme="minorHAnsi" w:eastAsia="Times New Roman" w:hAnsiTheme="minorHAnsi" w:cs="Arial"/>
                <w:b w:val="0"/>
                <w:bCs w:val="0"/>
                <w:sz w:val="20"/>
                <w:szCs w:val="20"/>
                <w:lang w:eastAsia="el-GR"/>
              </w:rPr>
              <w:t>Β</w:t>
            </w:r>
            <w:r w:rsidR="00E2101E">
              <w:rPr>
                <w:rFonts w:asciiTheme="minorHAnsi" w:eastAsia="Times New Roman" w:hAnsiTheme="minorHAnsi" w:cs="Arial"/>
                <w:b w:val="0"/>
                <w:bCs w:val="0"/>
                <w:sz w:val="20"/>
                <w:szCs w:val="20"/>
                <w:lang w:eastAsia="el-GR"/>
              </w:rPr>
              <w:t>Τριμήνου</w:t>
            </w:r>
            <w:proofErr w:type="spellEnd"/>
          </w:p>
        </w:tc>
        <w:tc>
          <w:tcPr>
            <w:tcW w:w="1212" w:type="dxa"/>
            <w:noWrap/>
            <w:hideMark/>
          </w:tcPr>
          <w:p w:rsidR="0020549E" w:rsidRPr="00F51DD8" w:rsidRDefault="0020549E" w:rsidP="0020549E">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Εκτέλεση -Στόχος</w:t>
            </w:r>
          </w:p>
        </w:tc>
        <w:tc>
          <w:tcPr>
            <w:tcW w:w="1115" w:type="dxa"/>
            <w:noWrap/>
            <w:hideMark/>
          </w:tcPr>
          <w:p w:rsidR="0020549E" w:rsidRPr="00F51DD8" w:rsidRDefault="0020549E" w:rsidP="0020549E">
            <w:pPr>
              <w:spacing w:after="0" w:line="240" w:lineRule="auto"/>
              <w:jc w:val="center"/>
              <w:cnfStyle w:val="10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Εκτέλεση -</w:t>
            </w:r>
            <w:r w:rsidR="00C35006">
              <w:rPr>
                <w:rFonts w:asciiTheme="minorHAnsi" w:eastAsia="Times New Roman" w:hAnsiTheme="minorHAnsi" w:cs="Arial"/>
                <w:sz w:val="20"/>
                <w:szCs w:val="20"/>
                <w:lang w:eastAsia="el-GR"/>
              </w:rPr>
              <w:t xml:space="preserve"> </w:t>
            </w:r>
            <w:r w:rsidRPr="00F51DD8">
              <w:rPr>
                <w:rFonts w:asciiTheme="minorHAnsi" w:eastAsia="Times New Roman" w:hAnsiTheme="minorHAnsi" w:cs="Arial"/>
                <w:sz w:val="20"/>
                <w:szCs w:val="20"/>
                <w:lang w:eastAsia="el-GR"/>
              </w:rPr>
              <w:t>Στόχος %</w:t>
            </w:r>
          </w:p>
        </w:tc>
      </w:tr>
      <w:tr w:rsidR="0036102B" w:rsidRPr="00F51DD8" w:rsidTr="0036102B">
        <w:trPr>
          <w:cnfStyle w:val="000000100000"/>
          <w:trHeight w:val="399"/>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01</w:t>
            </w:r>
          </w:p>
        </w:tc>
        <w:tc>
          <w:tcPr>
            <w:tcW w:w="2865" w:type="dxa"/>
            <w:noWrap/>
            <w:hideMark/>
          </w:tcPr>
          <w:p w:rsidR="0036102B" w:rsidRPr="00F51DD8" w:rsidRDefault="0036102B"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Πρόσοδοι από ακίνητη περιουσία</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34.553</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40.800</w:t>
            </w:r>
          </w:p>
        </w:tc>
        <w:tc>
          <w:tcPr>
            <w:tcW w:w="1212" w:type="dxa"/>
            <w:noWrap/>
            <w:hideMark/>
          </w:tcPr>
          <w:p w:rsidR="0036102B" w:rsidRPr="0036102B" w:rsidRDefault="0036102B" w:rsidP="0036102B">
            <w:pPr>
              <w:jc w:val="right"/>
              <w:cnfStyle w:val="000000100000"/>
              <w:rPr>
                <w:sz w:val="20"/>
                <w:szCs w:val="20"/>
              </w:rPr>
            </w:pPr>
            <w:r w:rsidRPr="0036102B">
              <w:rPr>
                <w:sz w:val="20"/>
                <w:szCs w:val="20"/>
              </w:rPr>
              <w:t>-6.246</w:t>
            </w:r>
          </w:p>
        </w:tc>
        <w:tc>
          <w:tcPr>
            <w:tcW w:w="1115" w:type="dxa"/>
            <w:noWrap/>
            <w:hideMark/>
          </w:tcPr>
          <w:p w:rsidR="0036102B" w:rsidRPr="0036102B" w:rsidRDefault="0036102B" w:rsidP="0036102B">
            <w:pPr>
              <w:jc w:val="right"/>
              <w:cnfStyle w:val="000000100000"/>
              <w:rPr>
                <w:sz w:val="20"/>
                <w:szCs w:val="20"/>
              </w:rPr>
            </w:pPr>
            <w:r w:rsidRPr="0036102B">
              <w:rPr>
                <w:sz w:val="20"/>
                <w:szCs w:val="20"/>
              </w:rPr>
              <w:t>-15,31%</w:t>
            </w:r>
          </w:p>
        </w:tc>
      </w:tr>
      <w:tr w:rsidR="0036102B" w:rsidRPr="00F51DD8" w:rsidTr="0036102B">
        <w:trPr>
          <w:cnfStyle w:val="00000001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02</w:t>
            </w:r>
          </w:p>
        </w:tc>
        <w:tc>
          <w:tcPr>
            <w:tcW w:w="2865" w:type="dxa"/>
            <w:noWrap/>
            <w:hideMark/>
          </w:tcPr>
          <w:p w:rsidR="0036102B" w:rsidRPr="00F51DD8" w:rsidRDefault="0036102B"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Πρόσοδοι από κινητή περιουσία</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56.048</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68.400</w:t>
            </w:r>
          </w:p>
        </w:tc>
        <w:tc>
          <w:tcPr>
            <w:tcW w:w="1212" w:type="dxa"/>
            <w:noWrap/>
            <w:hideMark/>
          </w:tcPr>
          <w:p w:rsidR="0036102B" w:rsidRPr="0036102B" w:rsidRDefault="0036102B" w:rsidP="0036102B">
            <w:pPr>
              <w:jc w:val="right"/>
              <w:cnfStyle w:val="000000010000"/>
              <w:rPr>
                <w:sz w:val="20"/>
                <w:szCs w:val="20"/>
              </w:rPr>
            </w:pPr>
            <w:r w:rsidRPr="0036102B">
              <w:rPr>
                <w:sz w:val="20"/>
                <w:szCs w:val="20"/>
              </w:rPr>
              <w:t>-12.351</w:t>
            </w:r>
          </w:p>
        </w:tc>
        <w:tc>
          <w:tcPr>
            <w:tcW w:w="1115" w:type="dxa"/>
            <w:noWrap/>
            <w:hideMark/>
          </w:tcPr>
          <w:p w:rsidR="0036102B" w:rsidRPr="0036102B" w:rsidRDefault="0036102B" w:rsidP="0036102B">
            <w:pPr>
              <w:jc w:val="right"/>
              <w:cnfStyle w:val="000000010000"/>
              <w:rPr>
                <w:sz w:val="20"/>
                <w:szCs w:val="20"/>
              </w:rPr>
            </w:pPr>
            <w:r w:rsidRPr="0036102B">
              <w:rPr>
                <w:sz w:val="20"/>
                <w:szCs w:val="20"/>
              </w:rPr>
              <w:t>-18,06%</w:t>
            </w:r>
          </w:p>
        </w:tc>
      </w:tr>
      <w:tr w:rsidR="0036102B" w:rsidRPr="00F51DD8" w:rsidTr="0036102B">
        <w:trPr>
          <w:cnfStyle w:val="00000010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03</w:t>
            </w:r>
          </w:p>
        </w:tc>
        <w:tc>
          <w:tcPr>
            <w:tcW w:w="2865" w:type="dxa"/>
            <w:noWrap/>
            <w:hideMark/>
          </w:tcPr>
          <w:p w:rsidR="0036102B" w:rsidRPr="00F51DD8" w:rsidRDefault="0036102B"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Έσοδα από ανταποδοτικά τέλη και δικαιώματα</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1.638.663</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1.996.200</w:t>
            </w:r>
          </w:p>
        </w:tc>
        <w:tc>
          <w:tcPr>
            <w:tcW w:w="1212" w:type="dxa"/>
            <w:noWrap/>
            <w:hideMark/>
          </w:tcPr>
          <w:p w:rsidR="0036102B" w:rsidRPr="0036102B" w:rsidRDefault="0036102B" w:rsidP="0036102B">
            <w:pPr>
              <w:jc w:val="right"/>
              <w:cnfStyle w:val="000000100000"/>
              <w:rPr>
                <w:sz w:val="20"/>
                <w:szCs w:val="20"/>
              </w:rPr>
            </w:pPr>
            <w:r w:rsidRPr="0036102B">
              <w:rPr>
                <w:sz w:val="20"/>
                <w:szCs w:val="20"/>
              </w:rPr>
              <w:t>-357.536</w:t>
            </w:r>
          </w:p>
        </w:tc>
        <w:tc>
          <w:tcPr>
            <w:tcW w:w="1115" w:type="dxa"/>
            <w:noWrap/>
            <w:hideMark/>
          </w:tcPr>
          <w:p w:rsidR="0036102B" w:rsidRPr="0036102B" w:rsidRDefault="0036102B" w:rsidP="0036102B">
            <w:pPr>
              <w:jc w:val="right"/>
              <w:cnfStyle w:val="000000100000"/>
              <w:rPr>
                <w:sz w:val="20"/>
                <w:szCs w:val="20"/>
              </w:rPr>
            </w:pPr>
            <w:r w:rsidRPr="0036102B">
              <w:rPr>
                <w:sz w:val="20"/>
                <w:szCs w:val="20"/>
              </w:rPr>
              <w:t>-17,91%</w:t>
            </w:r>
          </w:p>
        </w:tc>
      </w:tr>
      <w:tr w:rsidR="0036102B" w:rsidRPr="00F51DD8" w:rsidTr="0036102B">
        <w:trPr>
          <w:cnfStyle w:val="00000001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04</w:t>
            </w:r>
          </w:p>
        </w:tc>
        <w:tc>
          <w:tcPr>
            <w:tcW w:w="2865" w:type="dxa"/>
            <w:noWrap/>
            <w:hideMark/>
          </w:tcPr>
          <w:p w:rsidR="0036102B" w:rsidRPr="00F51DD8" w:rsidRDefault="0036102B"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Έσοδα από λοιπά τέλη - δικαιώματα και παροχή υπηρεσιών</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631.971</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654.900</w:t>
            </w:r>
          </w:p>
        </w:tc>
        <w:tc>
          <w:tcPr>
            <w:tcW w:w="1212" w:type="dxa"/>
            <w:noWrap/>
            <w:hideMark/>
          </w:tcPr>
          <w:p w:rsidR="0036102B" w:rsidRPr="0036102B" w:rsidRDefault="0036102B" w:rsidP="0036102B">
            <w:pPr>
              <w:jc w:val="right"/>
              <w:cnfStyle w:val="000000010000"/>
              <w:rPr>
                <w:sz w:val="20"/>
                <w:szCs w:val="20"/>
              </w:rPr>
            </w:pPr>
            <w:r w:rsidRPr="0036102B">
              <w:rPr>
                <w:sz w:val="20"/>
                <w:szCs w:val="20"/>
              </w:rPr>
              <w:t>-22.928</w:t>
            </w:r>
          </w:p>
        </w:tc>
        <w:tc>
          <w:tcPr>
            <w:tcW w:w="1115" w:type="dxa"/>
            <w:noWrap/>
            <w:hideMark/>
          </w:tcPr>
          <w:p w:rsidR="0036102B" w:rsidRPr="0036102B" w:rsidRDefault="0036102B" w:rsidP="0036102B">
            <w:pPr>
              <w:jc w:val="right"/>
              <w:cnfStyle w:val="000000010000"/>
              <w:rPr>
                <w:sz w:val="20"/>
                <w:szCs w:val="20"/>
              </w:rPr>
            </w:pPr>
            <w:r w:rsidRPr="0036102B">
              <w:rPr>
                <w:sz w:val="20"/>
                <w:szCs w:val="20"/>
              </w:rPr>
              <w:t>-3,50%</w:t>
            </w:r>
          </w:p>
        </w:tc>
      </w:tr>
      <w:tr w:rsidR="0036102B" w:rsidRPr="00F51DD8" w:rsidTr="0036102B">
        <w:trPr>
          <w:cnfStyle w:val="00000010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05</w:t>
            </w:r>
          </w:p>
        </w:tc>
        <w:tc>
          <w:tcPr>
            <w:tcW w:w="2865" w:type="dxa"/>
            <w:noWrap/>
            <w:hideMark/>
          </w:tcPr>
          <w:p w:rsidR="0036102B" w:rsidRPr="00F51DD8" w:rsidRDefault="0036102B"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Φόροι και εισφορές</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511.782</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526.100</w:t>
            </w:r>
          </w:p>
        </w:tc>
        <w:tc>
          <w:tcPr>
            <w:tcW w:w="1212" w:type="dxa"/>
            <w:noWrap/>
            <w:hideMark/>
          </w:tcPr>
          <w:p w:rsidR="0036102B" w:rsidRPr="0036102B" w:rsidRDefault="0036102B" w:rsidP="0036102B">
            <w:pPr>
              <w:jc w:val="right"/>
              <w:cnfStyle w:val="000000100000"/>
              <w:rPr>
                <w:sz w:val="20"/>
                <w:szCs w:val="20"/>
              </w:rPr>
            </w:pPr>
            <w:r w:rsidRPr="0036102B">
              <w:rPr>
                <w:sz w:val="20"/>
                <w:szCs w:val="20"/>
              </w:rPr>
              <w:t>-14.317</w:t>
            </w:r>
          </w:p>
        </w:tc>
        <w:tc>
          <w:tcPr>
            <w:tcW w:w="1115" w:type="dxa"/>
            <w:noWrap/>
            <w:hideMark/>
          </w:tcPr>
          <w:p w:rsidR="0036102B" w:rsidRPr="0036102B" w:rsidRDefault="0036102B" w:rsidP="0036102B">
            <w:pPr>
              <w:jc w:val="right"/>
              <w:cnfStyle w:val="000000100000"/>
              <w:rPr>
                <w:sz w:val="20"/>
                <w:szCs w:val="20"/>
              </w:rPr>
            </w:pPr>
            <w:r w:rsidRPr="0036102B">
              <w:rPr>
                <w:sz w:val="20"/>
                <w:szCs w:val="20"/>
              </w:rPr>
              <w:t>-2,72%</w:t>
            </w:r>
          </w:p>
        </w:tc>
      </w:tr>
      <w:tr w:rsidR="0036102B" w:rsidRPr="00F51DD8" w:rsidTr="0036102B">
        <w:trPr>
          <w:cnfStyle w:val="00000001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07</w:t>
            </w:r>
          </w:p>
        </w:tc>
        <w:tc>
          <w:tcPr>
            <w:tcW w:w="2865" w:type="dxa"/>
            <w:noWrap/>
            <w:hideMark/>
          </w:tcPr>
          <w:p w:rsidR="0036102B" w:rsidRPr="00F51DD8" w:rsidRDefault="0036102B"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Λοιπά τακτικά έσοδα</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24.849</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91.000</w:t>
            </w:r>
          </w:p>
        </w:tc>
        <w:tc>
          <w:tcPr>
            <w:tcW w:w="1212" w:type="dxa"/>
            <w:noWrap/>
            <w:hideMark/>
          </w:tcPr>
          <w:p w:rsidR="0036102B" w:rsidRPr="0036102B" w:rsidRDefault="0036102B" w:rsidP="0036102B">
            <w:pPr>
              <w:jc w:val="right"/>
              <w:cnfStyle w:val="000000010000"/>
              <w:rPr>
                <w:sz w:val="20"/>
                <w:szCs w:val="20"/>
              </w:rPr>
            </w:pPr>
            <w:r w:rsidRPr="0036102B">
              <w:rPr>
                <w:sz w:val="20"/>
                <w:szCs w:val="20"/>
              </w:rPr>
              <w:t>-66.150</w:t>
            </w:r>
          </w:p>
        </w:tc>
        <w:tc>
          <w:tcPr>
            <w:tcW w:w="1115" w:type="dxa"/>
            <w:noWrap/>
            <w:hideMark/>
          </w:tcPr>
          <w:p w:rsidR="0036102B" w:rsidRPr="0036102B" w:rsidRDefault="0036102B" w:rsidP="0036102B">
            <w:pPr>
              <w:jc w:val="right"/>
              <w:cnfStyle w:val="000000010000"/>
              <w:rPr>
                <w:sz w:val="20"/>
                <w:szCs w:val="20"/>
              </w:rPr>
            </w:pPr>
            <w:r w:rsidRPr="0036102B">
              <w:rPr>
                <w:sz w:val="20"/>
                <w:szCs w:val="20"/>
              </w:rPr>
              <w:t>-72,69%</w:t>
            </w:r>
          </w:p>
        </w:tc>
      </w:tr>
      <w:tr w:rsidR="0036102B" w:rsidRPr="00F51DD8" w:rsidTr="0036102B">
        <w:trPr>
          <w:cnfStyle w:val="00000010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11</w:t>
            </w:r>
          </w:p>
        </w:tc>
        <w:tc>
          <w:tcPr>
            <w:tcW w:w="2865" w:type="dxa"/>
            <w:noWrap/>
            <w:hideMark/>
          </w:tcPr>
          <w:p w:rsidR="0036102B" w:rsidRPr="00F51DD8" w:rsidRDefault="0036102B"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Έσοδα από την εκποίηση κινητής και ακίνητης περιούσιας</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8.493</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15.000</w:t>
            </w:r>
          </w:p>
        </w:tc>
        <w:tc>
          <w:tcPr>
            <w:tcW w:w="1212" w:type="dxa"/>
            <w:noWrap/>
            <w:hideMark/>
          </w:tcPr>
          <w:p w:rsidR="0036102B" w:rsidRPr="0036102B" w:rsidRDefault="0036102B" w:rsidP="0036102B">
            <w:pPr>
              <w:jc w:val="right"/>
              <w:cnfStyle w:val="000000100000"/>
              <w:rPr>
                <w:sz w:val="20"/>
                <w:szCs w:val="20"/>
              </w:rPr>
            </w:pPr>
            <w:r w:rsidRPr="0036102B">
              <w:rPr>
                <w:sz w:val="20"/>
                <w:szCs w:val="20"/>
              </w:rPr>
              <w:t>-6.506</w:t>
            </w:r>
          </w:p>
        </w:tc>
        <w:tc>
          <w:tcPr>
            <w:tcW w:w="1115" w:type="dxa"/>
            <w:noWrap/>
            <w:hideMark/>
          </w:tcPr>
          <w:p w:rsidR="0036102B" w:rsidRPr="0036102B" w:rsidRDefault="0036102B" w:rsidP="0036102B">
            <w:pPr>
              <w:jc w:val="right"/>
              <w:cnfStyle w:val="000000100000"/>
              <w:rPr>
                <w:sz w:val="20"/>
                <w:szCs w:val="20"/>
              </w:rPr>
            </w:pPr>
            <w:r w:rsidRPr="0036102B">
              <w:rPr>
                <w:sz w:val="20"/>
                <w:szCs w:val="20"/>
              </w:rPr>
              <w:t>-43,38%</w:t>
            </w:r>
          </w:p>
        </w:tc>
      </w:tr>
      <w:tr w:rsidR="0036102B" w:rsidRPr="00F51DD8" w:rsidTr="0036102B">
        <w:trPr>
          <w:cnfStyle w:val="00000001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15</w:t>
            </w:r>
          </w:p>
        </w:tc>
        <w:tc>
          <w:tcPr>
            <w:tcW w:w="2865" w:type="dxa"/>
            <w:noWrap/>
            <w:hideMark/>
          </w:tcPr>
          <w:p w:rsidR="0036102B" w:rsidRPr="00F51DD8" w:rsidRDefault="0036102B"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 xml:space="preserve">Προσαυξήσεις - πρόστιμα </w:t>
            </w:r>
            <w:r>
              <w:rPr>
                <w:rFonts w:asciiTheme="minorHAnsi" w:eastAsia="Times New Roman" w:hAnsiTheme="minorHAnsi" w:cs="Arial"/>
                <w:sz w:val="20"/>
                <w:szCs w:val="20"/>
                <w:lang w:eastAsia="el-GR"/>
              </w:rPr>
              <w:t>–</w:t>
            </w:r>
            <w:r w:rsidRPr="00F51DD8">
              <w:rPr>
                <w:rFonts w:asciiTheme="minorHAnsi" w:eastAsia="Times New Roman" w:hAnsiTheme="minorHAnsi" w:cs="Arial"/>
                <w:sz w:val="20"/>
                <w:szCs w:val="20"/>
                <w:lang w:eastAsia="el-GR"/>
              </w:rPr>
              <w:t xml:space="preserve"> παράβολα</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106.881</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203.240</w:t>
            </w:r>
          </w:p>
        </w:tc>
        <w:tc>
          <w:tcPr>
            <w:tcW w:w="1212" w:type="dxa"/>
            <w:noWrap/>
            <w:hideMark/>
          </w:tcPr>
          <w:p w:rsidR="0036102B" w:rsidRPr="0036102B" w:rsidRDefault="0036102B" w:rsidP="0036102B">
            <w:pPr>
              <w:jc w:val="right"/>
              <w:cnfStyle w:val="000000010000"/>
              <w:rPr>
                <w:sz w:val="20"/>
                <w:szCs w:val="20"/>
              </w:rPr>
            </w:pPr>
            <w:r w:rsidRPr="0036102B">
              <w:rPr>
                <w:sz w:val="20"/>
                <w:szCs w:val="20"/>
              </w:rPr>
              <w:t>-96.358</w:t>
            </w:r>
          </w:p>
        </w:tc>
        <w:tc>
          <w:tcPr>
            <w:tcW w:w="1115" w:type="dxa"/>
            <w:noWrap/>
            <w:hideMark/>
          </w:tcPr>
          <w:p w:rsidR="0036102B" w:rsidRPr="0036102B" w:rsidRDefault="0036102B" w:rsidP="0036102B">
            <w:pPr>
              <w:jc w:val="right"/>
              <w:cnfStyle w:val="000000010000"/>
              <w:rPr>
                <w:sz w:val="20"/>
                <w:szCs w:val="20"/>
              </w:rPr>
            </w:pPr>
            <w:r w:rsidRPr="0036102B">
              <w:rPr>
                <w:sz w:val="20"/>
                <w:szCs w:val="20"/>
              </w:rPr>
              <w:t>-47,41%</w:t>
            </w:r>
          </w:p>
        </w:tc>
      </w:tr>
      <w:tr w:rsidR="0036102B" w:rsidRPr="00F51DD8" w:rsidTr="0036102B">
        <w:trPr>
          <w:cnfStyle w:val="00000010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16</w:t>
            </w:r>
          </w:p>
        </w:tc>
        <w:tc>
          <w:tcPr>
            <w:tcW w:w="2865" w:type="dxa"/>
            <w:noWrap/>
            <w:hideMark/>
          </w:tcPr>
          <w:p w:rsidR="0036102B" w:rsidRPr="00F51DD8" w:rsidRDefault="0036102B"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Λοιπά έκτακτα έσοδα</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460,00</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1.000</w:t>
            </w:r>
          </w:p>
        </w:tc>
        <w:tc>
          <w:tcPr>
            <w:tcW w:w="1212" w:type="dxa"/>
            <w:noWrap/>
            <w:hideMark/>
          </w:tcPr>
          <w:p w:rsidR="0036102B" w:rsidRPr="0036102B" w:rsidRDefault="0036102B" w:rsidP="0036102B">
            <w:pPr>
              <w:jc w:val="right"/>
              <w:cnfStyle w:val="000000100000"/>
              <w:rPr>
                <w:sz w:val="20"/>
                <w:szCs w:val="20"/>
              </w:rPr>
            </w:pPr>
            <w:r w:rsidRPr="0036102B">
              <w:rPr>
                <w:sz w:val="20"/>
                <w:szCs w:val="20"/>
              </w:rPr>
              <w:t>-540,00</w:t>
            </w:r>
          </w:p>
        </w:tc>
        <w:tc>
          <w:tcPr>
            <w:tcW w:w="1115" w:type="dxa"/>
            <w:noWrap/>
            <w:hideMark/>
          </w:tcPr>
          <w:p w:rsidR="0036102B" w:rsidRPr="0036102B" w:rsidRDefault="0036102B" w:rsidP="0036102B">
            <w:pPr>
              <w:jc w:val="right"/>
              <w:cnfStyle w:val="000000100000"/>
              <w:rPr>
                <w:sz w:val="20"/>
                <w:szCs w:val="20"/>
              </w:rPr>
            </w:pPr>
            <w:r w:rsidRPr="0036102B">
              <w:rPr>
                <w:sz w:val="20"/>
                <w:szCs w:val="20"/>
              </w:rPr>
              <w:t>-54,00%</w:t>
            </w:r>
          </w:p>
        </w:tc>
      </w:tr>
      <w:tr w:rsidR="0036102B" w:rsidRPr="00F51DD8" w:rsidTr="0036102B">
        <w:trPr>
          <w:cnfStyle w:val="00000001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21</w:t>
            </w:r>
          </w:p>
        </w:tc>
        <w:tc>
          <w:tcPr>
            <w:tcW w:w="2865" w:type="dxa"/>
            <w:noWrap/>
            <w:hideMark/>
          </w:tcPr>
          <w:p w:rsidR="0036102B" w:rsidRPr="00F51DD8" w:rsidRDefault="0036102B" w:rsidP="0020549E">
            <w:pPr>
              <w:spacing w:after="0" w:line="240" w:lineRule="auto"/>
              <w:cnfStyle w:val="00000001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Τακτικά έσοδα</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1.451.343</w:t>
            </w:r>
          </w:p>
        </w:tc>
        <w:tc>
          <w:tcPr>
            <w:tcW w:w="1378" w:type="dxa"/>
            <w:noWrap/>
            <w:hideMark/>
          </w:tcPr>
          <w:p w:rsidR="0036102B" w:rsidRPr="0036102B" w:rsidRDefault="0036102B" w:rsidP="0036102B">
            <w:pPr>
              <w:jc w:val="right"/>
              <w:cnfStyle w:val="000000010000"/>
              <w:rPr>
                <w:sz w:val="20"/>
                <w:szCs w:val="20"/>
              </w:rPr>
            </w:pPr>
            <w:r w:rsidRPr="0036102B">
              <w:rPr>
                <w:sz w:val="20"/>
                <w:szCs w:val="20"/>
              </w:rPr>
              <w:t>1.563.000</w:t>
            </w:r>
          </w:p>
        </w:tc>
        <w:tc>
          <w:tcPr>
            <w:tcW w:w="1212" w:type="dxa"/>
            <w:noWrap/>
            <w:hideMark/>
          </w:tcPr>
          <w:p w:rsidR="0036102B" w:rsidRPr="0036102B" w:rsidRDefault="0036102B" w:rsidP="0036102B">
            <w:pPr>
              <w:jc w:val="right"/>
              <w:cnfStyle w:val="000000010000"/>
              <w:rPr>
                <w:sz w:val="20"/>
                <w:szCs w:val="20"/>
              </w:rPr>
            </w:pPr>
            <w:r w:rsidRPr="0036102B">
              <w:rPr>
                <w:sz w:val="20"/>
                <w:szCs w:val="20"/>
              </w:rPr>
              <w:t>-111.656</w:t>
            </w:r>
          </w:p>
        </w:tc>
        <w:tc>
          <w:tcPr>
            <w:tcW w:w="1115" w:type="dxa"/>
            <w:noWrap/>
            <w:hideMark/>
          </w:tcPr>
          <w:p w:rsidR="0036102B" w:rsidRPr="0036102B" w:rsidRDefault="0036102B" w:rsidP="0036102B">
            <w:pPr>
              <w:jc w:val="right"/>
              <w:cnfStyle w:val="000000010000"/>
              <w:rPr>
                <w:sz w:val="20"/>
                <w:szCs w:val="20"/>
              </w:rPr>
            </w:pPr>
            <w:r w:rsidRPr="0036102B">
              <w:rPr>
                <w:sz w:val="20"/>
                <w:szCs w:val="20"/>
              </w:rPr>
              <w:t>-7,14%</w:t>
            </w:r>
          </w:p>
        </w:tc>
      </w:tr>
      <w:tr w:rsidR="0036102B" w:rsidRPr="00F51DD8" w:rsidTr="0036102B">
        <w:trPr>
          <w:cnfStyle w:val="000000100000"/>
          <w:trHeight w:val="225"/>
        </w:trPr>
        <w:tc>
          <w:tcPr>
            <w:cnfStyle w:val="001000000000"/>
            <w:tcW w:w="580" w:type="dxa"/>
            <w:noWrap/>
            <w:hideMark/>
          </w:tcPr>
          <w:p w:rsidR="0036102B" w:rsidRPr="00F51DD8" w:rsidRDefault="0036102B" w:rsidP="0020549E">
            <w:pPr>
              <w:spacing w:after="0" w:line="240" w:lineRule="auto"/>
              <w:jc w:val="right"/>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22</w:t>
            </w:r>
          </w:p>
        </w:tc>
        <w:tc>
          <w:tcPr>
            <w:tcW w:w="2865" w:type="dxa"/>
            <w:noWrap/>
            <w:hideMark/>
          </w:tcPr>
          <w:p w:rsidR="0036102B" w:rsidRPr="00F51DD8" w:rsidRDefault="0036102B" w:rsidP="0020549E">
            <w:pPr>
              <w:spacing w:after="0" w:line="240" w:lineRule="auto"/>
              <w:cnfStyle w:val="0000001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Έκτακτα έσοδα</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41.174</w:t>
            </w:r>
          </w:p>
        </w:tc>
        <w:tc>
          <w:tcPr>
            <w:tcW w:w="1378" w:type="dxa"/>
            <w:noWrap/>
            <w:hideMark/>
          </w:tcPr>
          <w:p w:rsidR="0036102B" w:rsidRPr="0036102B" w:rsidRDefault="0036102B" w:rsidP="0036102B">
            <w:pPr>
              <w:jc w:val="right"/>
              <w:cnfStyle w:val="000000100000"/>
              <w:rPr>
                <w:sz w:val="20"/>
                <w:szCs w:val="20"/>
              </w:rPr>
            </w:pPr>
            <w:r w:rsidRPr="0036102B">
              <w:rPr>
                <w:sz w:val="20"/>
                <w:szCs w:val="20"/>
              </w:rPr>
              <w:t>72.500</w:t>
            </w:r>
          </w:p>
        </w:tc>
        <w:tc>
          <w:tcPr>
            <w:tcW w:w="1212" w:type="dxa"/>
            <w:noWrap/>
            <w:hideMark/>
          </w:tcPr>
          <w:p w:rsidR="0036102B" w:rsidRPr="0036102B" w:rsidRDefault="0036102B" w:rsidP="0036102B">
            <w:pPr>
              <w:jc w:val="right"/>
              <w:cnfStyle w:val="000000100000"/>
              <w:rPr>
                <w:sz w:val="20"/>
                <w:szCs w:val="20"/>
              </w:rPr>
            </w:pPr>
            <w:r w:rsidRPr="0036102B">
              <w:rPr>
                <w:sz w:val="20"/>
                <w:szCs w:val="20"/>
              </w:rPr>
              <w:t>-31.325</w:t>
            </w:r>
          </w:p>
        </w:tc>
        <w:tc>
          <w:tcPr>
            <w:tcW w:w="1115" w:type="dxa"/>
            <w:noWrap/>
            <w:hideMark/>
          </w:tcPr>
          <w:p w:rsidR="0036102B" w:rsidRPr="0036102B" w:rsidRDefault="0036102B" w:rsidP="0036102B">
            <w:pPr>
              <w:jc w:val="right"/>
              <w:cnfStyle w:val="000000100000"/>
              <w:rPr>
                <w:sz w:val="20"/>
                <w:szCs w:val="20"/>
              </w:rPr>
            </w:pPr>
            <w:r w:rsidRPr="0036102B">
              <w:rPr>
                <w:sz w:val="20"/>
                <w:szCs w:val="20"/>
              </w:rPr>
              <w:t>-43,21%</w:t>
            </w:r>
          </w:p>
        </w:tc>
      </w:tr>
      <w:tr w:rsidR="0020549E" w:rsidRPr="00F51DD8" w:rsidTr="0036102B">
        <w:trPr>
          <w:cnfStyle w:val="010000000000"/>
          <w:trHeight w:val="225"/>
        </w:trPr>
        <w:tc>
          <w:tcPr>
            <w:cnfStyle w:val="001000000000"/>
            <w:tcW w:w="580" w:type="dxa"/>
            <w:noWrap/>
            <w:hideMark/>
          </w:tcPr>
          <w:p w:rsidR="0020549E" w:rsidRPr="00F51DD8" w:rsidRDefault="0020549E" w:rsidP="0020549E">
            <w:pPr>
              <w:spacing w:after="0" w:line="240" w:lineRule="auto"/>
              <w:jc w:val="right"/>
              <w:rPr>
                <w:rFonts w:asciiTheme="minorHAnsi" w:eastAsia="Times New Roman" w:hAnsiTheme="minorHAnsi" w:cs="Arial"/>
                <w:sz w:val="20"/>
                <w:szCs w:val="20"/>
                <w:lang w:eastAsia="el-GR"/>
              </w:rPr>
            </w:pPr>
          </w:p>
        </w:tc>
        <w:tc>
          <w:tcPr>
            <w:tcW w:w="2865" w:type="dxa"/>
            <w:noWrap/>
            <w:hideMark/>
          </w:tcPr>
          <w:p w:rsidR="0020549E" w:rsidRPr="00F51DD8" w:rsidRDefault="0020549E" w:rsidP="0020549E">
            <w:pPr>
              <w:spacing w:after="0" w:line="240" w:lineRule="auto"/>
              <w:cnfStyle w:val="010000000000"/>
              <w:rPr>
                <w:rFonts w:asciiTheme="minorHAnsi" w:eastAsia="Times New Roman" w:hAnsiTheme="minorHAnsi" w:cs="Arial"/>
                <w:sz w:val="20"/>
                <w:szCs w:val="20"/>
                <w:lang w:eastAsia="el-GR"/>
              </w:rPr>
            </w:pPr>
            <w:r w:rsidRPr="00F51DD8">
              <w:rPr>
                <w:rFonts w:asciiTheme="minorHAnsi" w:eastAsia="Times New Roman" w:hAnsiTheme="minorHAnsi" w:cs="Arial"/>
                <w:sz w:val="20"/>
                <w:szCs w:val="20"/>
                <w:lang w:eastAsia="el-GR"/>
              </w:rPr>
              <w:t>Τακτικά έσοδα</w:t>
            </w:r>
          </w:p>
        </w:tc>
        <w:tc>
          <w:tcPr>
            <w:tcW w:w="1378" w:type="dxa"/>
            <w:noWrap/>
            <w:hideMark/>
          </w:tcPr>
          <w:p w:rsidR="0020549E" w:rsidRPr="0036102B" w:rsidRDefault="00B900A5" w:rsidP="0020549E">
            <w:pPr>
              <w:spacing w:after="0" w:line="240" w:lineRule="auto"/>
              <w:jc w:val="right"/>
              <w:cnfStyle w:val="010000000000"/>
              <w:rPr>
                <w:rFonts w:asciiTheme="minorHAnsi" w:eastAsia="Times New Roman" w:hAnsiTheme="minorHAnsi" w:cs="Arial"/>
                <w:sz w:val="20"/>
                <w:szCs w:val="20"/>
                <w:lang w:eastAsia="el-GR"/>
              </w:rPr>
            </w:pPr>
            <w:r w:rsidRPr="0036102B">
              <w:rPr>
                <w:rFonts w:asciiTheme="minorHAnsi" w:eastAsia="Times New Roman" w:hAnsiTheme="minorHAnsi" w:cs="Arial"/>
                <w:sz w:val="20"/>
                <w:szCs w:val="20"/>
                <w:lang w:eastAsia="el-GR"/>
              </w:rPr>
              <w:fldChar w:fldCharType="begin"/>
            </w:r>
            <w:r w:rsidR="0036102B" w:rsidRPr="0036102B">
              <w:rPr>
                <w:rFonts w:asciiTheme="minorHAnsi" w:eastAsia="Times New Roman" w:hAnsiTheme="minorHAnsi" w:cs="Arial"/>
                <w:sz w:val="20"/>
                <w:szCs w:val="20"/>
                <w:lang w:eastAsia="el-GR"/>
              </w:rPr>
              <w:instrText xml:space="preserve"> =SUM(ABOVE) \# "#.##0" </w:instrText>
            </w:r>
            <w:r w:rsidRPr="0036102B">
              <w:rPr>
                <w:rFonts w:asciiTheme="minorHAnsi" w:eastAsia="Times New Roman" w:hAnsiTheme="minorHAnsi" w:cs="Arial"/>
                <w:sz w:val="20"/>
                <w:szCs w:val="20"/>
                <w:lang w:eastAsia="el-GR"/>
              </w:rPr>
              <w:fldChar w:fldCharType="separate"/>
            </w:r>
            <w:r w:rsidR="0036102B" w:rsidRPr="0036102B">
              <w:rPr>
                <w:rFonts w:asciiTheme="minorHAnsi" w:eastAsia="Times New Roman" w:hAnsiTheme="minorHAnsi" w:cs="Arial"/>
                <w:bCs w:val="0"/>
                <w:noProof/>
                <w:sz w:val="20"/>
                <w:szCs w:val="20"/>
                <w:lang w:eastAsia="el-GR"/>
              </w:rPr>
              <w:t>4.506.217</w:t>
            </w:r>
            <w:r w:rsidRPr="0036102B">
              <w:rPr>
                <w:rFonts w:asciiTheme="minorHAnsi" w:eastAsia="Times New Roman" w:hAnsiTheme="minorHAnsi" w:cs="Arial"/>
                <w:sz w:val="20"/>
                <w:szCs w:val="20"/>
                <w:lang w:eastAsia="el-GR"/>
              </w:rPr>
              <w:fldChar w:fldCharType="end"/>
            </w:r>
          </w:p>
        </w:tc>
        <w:tc>
          <w:tcPr>
            <w:tcW w:w="1378" w:type="dxa"/>
            <w:noWrap/>
            <w:hideMark/>
          </w:tcPr>
          <w:p w:rsidR="0020549E" w:rsidRPr="0036102B" w:rsidRDefault="00B900A5" w:rsidP="0020549E">
            <w:pPr>
              <w:spacing w:after="0" w:line="240" w:lineRule="auto"/>
              <w:jc w:val="right"/>
              <w:cnfStyle w:val="010000000000"/>
              <w:rPr>
                <w:rFonts w:asciiTheme="minorHAnsi" w:eastAsia="Times New Roman" w:hAnsiTheme="minorHAnsi" w:cs="Arial"/>
                <w:sz w:val="20"/>
                <w:szCs w:val="20"/>
                <w:lang w:eastAsia="el-GR"/>
              </w:rPr>
            </w:pPr>
            <w:r w:rsidRPr="0036102B">
              <w:rPr>
                <w:rFonts w:asciiTheme="minorHAnsi" w:eastAsia="Times New Roman" w:hAnsiTheme="minorHAnsi" w:cs="Arial"/>
                <w:sz w:val="20"/>
                <w:szCs w:val="20"/>
                <w:lang w:eastAsia="el-GR"/>
              </w:rPr>
              <w:fldChar w:fldCharType="begin"/>
            </w:r>
            <w:r w:rsidR="0036102B" w:rsidRPr="0036102B">
              <w:rPr>
                <w:rFonts w:asciiTheme="minorHAnsi" w:eastAsia="Times New Roman" w:hAnsiTheme="minorHAnsi" w:cs="Arial"/>
                <w:sz w:val="20"/>
                <w:szCs w:val="20"/>
                <w:lang w:eastAsia="el-GR"/>
              </w:rPr>
              <w:instrText xml:space="preserve"> =SUM(ABOVE) \# "#.##0" </w:instrText>
            </w:r>
            <w:r w:rsidRPr="0036102B">
              <w:rPr>
                <w:rFonts w:asciiTheme="minorHAnsi" w:eastAsia="Times New Roman" w:hAnsiTheme="minorHAnsi" w:cs="Arial"/>
                <w:sz w:val="20"/>
                <w:szCs w:val="20"/>
                <w:lang w:eastAsia="el-GR"/>
              </w:rPr>
              <w:fldChar w:fldCharType="separate"/>
            </w:r>
            <w:r w:rsidR="0036102B" w:rsidRPr="0036102B">
              <w:rPr>
                <w:rFonts w:asciiTheme="minorHAnsi" w:eastAsia="Times New Roman" w:hAnsiTheme="minorHAnsi" w:cs="Arial"/>
                <w:bCs w:val="0"/>
                <w:noProof/>
                <w:sz w:val="20"/>
                <w:szCs w:val="20"/>
                <w:lang w:eastAsia="el-GR"/>
              </w:rPr>
              <w:t>5.232.140</w:t>
            </w:r>
            <w:r w:rsidRPr="0036102B">
              <w:rPr>
                <w:rFonts w:asciiTheme="minorHAnsi" w:eastAsia="Times New Roman" w:hAnsiTheme="minorHAnsi" w:cs="Arial"/>
                <w:sz w:val="20"/>
                <w:szCs w:val="20"/>
                <w:lang w:eastAsia="el-GR"/>
              </w:rPr>
              <w:fldChar w:fldCharType="end"/>
            </w:r>
          </w:p>
        </w:tc>
        <w:tc>
          <w:tcPr>
            <w:tcW w:w="1212" w:type="dxa"/>
            <w:noWrap/>
            <w:hideMark/>
          </w:tcPr>
          <w:p w:rsidR="0020549E" w:rsidRPr="0036102B" w:rsidRDefault="00B900A5" w:rsidP="00F51DD8">
            <w:pPr>
              <w:spacing w:after="0" w:line="240" w:lineRule="auto"/>
              <w:jc w:val="right"/>
              <w:cnfStyle w:val="010000000000"/>
              <w:rPr>
                <w:rFonts w:asciiTheme="minorHAnsi" w:eastAsia="Times New Roman" w:hAnsiTheme="minorHAnsi" w:cs="Arial"/>
                <w:sz w:val="20"/>
                <w:szCs w:val="20"/>
                <w:lang w:val="en-US" w:eastAsia="el-GR"/>
              </w:rPr>
            </w:pPr>
            <w:r w:rsidRPr="0036102B">
              <w:rPr>
                <w:rFonts w:asciiTheme="minorHAnsi" w:eastAsia="Times New Roman" w:hAnsiTheme="minorHAnsi" w:cs="Arial"/>
                <w:sz w:val="20"/>
                <w:szCs w:val="20"/>
                <w:lang w:eastAsia="el-GR"/>
              </w:rPr>
              <w:fldChar w:fldCharType="begin"/>
            </w:r>
            <w:r w:rsidR="0036102B" w:rsidRPr="0036102B">
              <w:rPr>
                <w:rFonts w:asciiTheme="minorHAnsi" w:eastAsia="Times New Roman" w:hAnsiTheme="minorHAnsi" w:cs="Arial"/>
                <w:sz w:val="20"/>
                <w:szCs w:val="20"/>
                <w:lang w:eastAsia="el-GR"/>
              </w:rPr>
              <w:instrText xml:space="preserve"> =SUM(ABOVE) \# "#.##0" </w:instrText>
            </w:r>
            <w:r w:rsidRPr="0036102B">
              <w:rPr>
                <w:rFonts w:asciiTheme="minorHAnsi" w:eastAsia="Times New Roman" w:hAnsiTheme="minorHAnsi" w:cs="Arial"/>
                <w:sz w:val="20"/>
                <w:szCs w:val="20"/>
                <w:lang w:eastAsia="el-GR"/>
              </w:rPr>
              <w:fldChar w:fldCharType="separate"/>
            </w:r>
            <w:r w:rsidR="0036102B" w:rsidRPr="0036102B">
              <w:rPr>
                <w:rFonts w:asciiTheme="minorHAnsi" w:eastAsia="Times New Roman" w:hAnsiTheme="minorHAnsi" w:cs="Arial"/>
                <w:bCs w:val="0"/>
                <w:noProof/>
                <w:sz w:val="20"/>
                <w:szCs w:val="20"/>
                <w:lang w:eastAsia="el-GR"/>
              </w:rPr>
              <w:t>-725.913</w:t>
            </w:r>
            <w:r w:rsidRPr="0036102B">
              <w:rPr>
                <w:rFonts w:asciiTheme="minorHAnsi" w:eastAsia="Times New Roman" w:hAnsiTheme="minorHAnsi" w:cs="Arial"/>
                <w:sz w:val="20"/>
                <w:szCs w:val="20"/>
                <w:lang w:eastAsia="el-GR"/>
              </w:rPr>
              <w:fldChar w:fldCharType="end"/>
            </w:r>
          </w:p>
        </w:tc>
        <w:tc>
          <w:tcPr>
            <w:tcW w:w="1115" w:type="dxa"/>
            <w:noWrap/>
            <w:hideMark/>
          </w:tcPr>
          <w:p w:rsidR="0020549E" w:rsidRPr="0036102B" w:rsidRDefault="00B900A5" w:rsidP="0020549E">
            <w:pPr>
              <w:spacing w:after="0" w:line="240" w:lineRule="auto"/>
              <w:jc w:val="right"/>
              <w:cnfStyle w:val="010000000000"/>
              <w:rPr>
                <w:rFonts w:asciiTheme="minorHAnsi" w:eastAsia="Times New Roman" w:hAnsiTheme="minorHAnsi" w:cs="Arial"/>
                <w:b w:val="0"/>
                <w:sz w:val="20"/>
                <w:szCs w:val="20"/>
                <w:lang w:eastAsia="el-GR"/>
              </w:rPr>
            </w:pPr>
            <w:r w:rsidRPr="0036102B">
              <w:rPr>
                <w:rFonts w:asciiTheme="minorHAnsi" w:eastAsia="Times New Roman" w:hAnsiTheme="minorHAnsi" w:cs="Arial"/>
                <w:sz w:val="20"/>
                <w:szCs w:val="20"/>
                <w:lang w:eastAsia="el-GR"/>
              </w:rPr>
              <w:fldChar w:fldCharType="begin"/>
            </w:r>
            <w:r w:rsidR="0036102B" w:rsidRPr="0036102B">
              <w:rPr>
                <w:rFonts w:asciiTheme="minorHAnsi" w:eastAsia="Times New Roman" w:hAnsiTheme="minorHAnsi" w:cs="Arial"/>
                <w:b w:val="0"/>
                <w:sz w:val="20"/>
                <w:szCs w:val="20"/>
                <w:lang w:eastAsia="el-GR"/>
              </w:rPr>
              <w:instrText xml:space="preserve"> =e13/d13*100 \# "0,00%" </w:instrText>
            </w:r>
            <w:r w:rsidRPr="0036102B">
              <w:rPr>
                <w:rFonts w:asciiTheme="minorHAnsi" w:eastAsia="Times New Roman" w:hAnsiTheme="minorHAnsi" w:cs="Arial"/>
                <w:sz w:val="20"/>
                <w:szCs w:val="20"/>
                <w:lang w:eastAsia="el-GR"/>
              </w:rPr>
              <w:fldChar w:fldCharType="separate"/>
            </w:r>
            <w:r w:rsidR="0036102B" w:rsidRPr="0036102B">
              <w:rPr>
                <w:rFonts w:asciiTheme="minorHAnsi" w:eastAsia="Times New Roman" w:hAnsiTheme="minorHAnsi" w:cs="Arial"/>
                <w:b w:val="0"/>
                <w:bCs w:val="0"/>
                <w:noProof/>
                <w:sz w:val="20"/>
                <w:szCs w:val="20"/>
                <w:lang w:eastAsia="el-GR"/>
              </w:rPr>
              <w:t>-13,87</w:t>
            </w:r>
            <w:r w:rsidR="0036102B" w:rsidRPr="0036102B">
              <w:rPr>
                <w:rFonts w:asciiTheme="minorHAnsi" w:eastAsia="Times New Roman" w:hAnsiTheme="minorHAnsi" w:cs="Arial"/>
                <w:b w:val="0"/>
                <w:noProof/>
                <w:sz w:val="20"/>
                <w:szCs w:val="20"/>
                <w:lang w:eastAsia="el-GR"/>
              </w:rPr>
              <w:t>%</w:t>
            </w:r>
            <w:r w:rsidRPr="0036102B">
              <w:rPr>
                <w:rFonts w:asciiTheme="minorHAnsi" w:eastAsia="Times New Roman" w:hAnsiTheme="minorHAnsi" w:cs="Arial"/>
                <w:sz w:val="20"/>
                <w:szCs w:val="20"/>
                <w:lang w:eastAsia="el-GR"/>
              </w:rPr>
              <w:fldChar w:fldCharType="end"/>
            </w:r>
            <w:r w:rsidR="0036102B" w:rsidRPr="0036102B">
              <w:rPr>
                <w:rFonts w:asciiTheme="minorHAnsi" w:eastAsia="Times New Roman" w:hAnsiTheme="minorHAnsi" w:cs="Arial"/>
                <w:b w:val="0"/>
                <w:sz w:val="16"/>
                <w:szCs w:val="16"/>
                <w:lang w:eastAsia="el-GR"/>
              </w:rPr>
              <w:t>*</w:t>
            </w:r>
          </w:p>
        </w:tc>
      </w:tr>
    </w:tbl>
    <w:p w:rsidR="0020549E" w:rsidRPr="0036102B" w:rsidRDefault="0036102B" w:rsidP="0036102B">
      <w:pPr>
        <w:pStyle w:val="a3"/>
        <w:spacing w:after="0" w:line="360" w:lineRule="auto"/>
        <w:ind w:left="0"/>
        <w:jc w:val="both"/>
        <w:rPr>
          <w:sz w:val="16"/>
          <w:szCs w:val="16"/>
        </w:rPr>
      </w:pPr>
      <w:r w:rsidRPr="0036102B">
        <w:rPr>
          <w:sz w:val="16"/>
          <w:szCs w:val="16"/>
        </w:rPr>
        <w:t>* Η διαφορά προκύπτει από την παράλ</w:t>
      </w:r>
      <w:r w:rsidR="002463E8">
        <w:rPr>
          <w:sz w:val="16"/>
          <w:szCs w:val="16"/>
        </w:rPr>
        <w:t>ει</w:t>
      </w:r>
      <w:r w:rsidRPr="0036102B">
        <w:rPr>
          <w:sz w:val="16"/>
          <w:szCs w:val="16"/>
        </w:rPr>
        <w:t>ψη των δεκαδικών.</w:t>
      </w:r>
    </w:p>
    <w:p w:rsidR="00CB3CCC" w:rsidRPr="007377E9" w:rsidRDefault="00485694" w:rsidP="00485694">
      <w:pPr>
        <w:spacing w:after="0" w:line="360" w:lineRule="auto"/>
        <w:jc w:val="both"/>
      </w:pPr>
      <w:r w:rsidRPr="007377E9">
        <w:t xml:space="preserve">Η </w:t>
      </w:r>
      <w:r w:rsidR="00860DE3" w:rsidRPr="007377E9">
        <w:t>παραπ</w:t>
      </w:r>
      <w:r w:rsidRPr="007377E9">
        <w:t>άνω απόκλιση και με δεδομένο ότι οι εκτιμήσεις των στόχων έγιναν με την αντίστοιχη ροή εσόδων του 201</w:t>
      </w:r>
      <w:r w:rsidR="0036102B">
        <w:t>4</w:t>
      </w:r>
      <w:r w:rsidRPr="007377E9">
        <w:t xml:space="preserve">, </w:t>
      </w:r>
      <w:r w:rsidR="00860DE3" w:rsidRPr="007377E9">
        <w:t xml:space="preserve">οφείλεται κατά κύριο λόγο </w:t>
      </w:r>
    </w:p>
    <w:p w:rsidR="00485694" w:rsidRPr="007A1E03" w:rsidRDefault="00860DE3" w:rsidP="00996B59">
      <w:pPr>
        <w:pStyle w:val="a3"/>
        <w:numPr>
          <w:ilvl w:val="0"/>
          <w:numId w:val="3"/>
        </w:numPr>
        <w:spacing w:after="0" w:line="360" w:lineRule="auto"/>
        <w:jc w:val="both"/>
      </w:pPr>
      <w:r w:rsidRPr="007377E9">
        <w:t>στην αύξηση των ανείσπρακτων εσόδων από τέλη καθαριότητας και ηλεκτροφωτισμού</w:t>
      </w:r>
      <w:r w:rsidR="001D422B" w:rsidRPr="007377E9">
        <w:t>.</w:t>
      </w:r>
      <w:r w:rsidR="00996B59" w:rsidRPr="007377E9">
        <w:t xml:space="preserve"> </w:t>
      </w:r>
      <w:r w:rsidR="00F070BA" w:rsidRPr="007377E9">
        <w:t xml:space="preserve">Συγκεκριμένα </w:t>
      </w:r>
      <w:r w:rsidR="00996B59" w:rsidRPr="007377E9">
        <w:t xml:space="preserve">εμφανίζεται υστέρηση </w:t>
      </w:r>
      <w:r w:rsidR="00B450D6" w:rsidRPr="007377E9">
        <w:t xml:space="preserve">της τάξεως των </w:t>
      </w:r>
      <w:r w:rsidR="009A66BB" w:rsidRPr="009A66BB">
        <w:t xml:space="preserve">-504.226,06 </w:t>
      </w:r>
      <w:r w:rsidR="00B450D6" w:rsidRPr="007377E9">
        <w:t xml:space="preserve"> €  </w:t>
      </w:r>
      <w:r w:rsidR="00B450D6" w:rsidRPr="00734A98">
        <w:t>(-</w:t>
      </w:r>
      <w:r w:rsidR="00734A98" w:rsidRPr="00734A98">
        <w:t>16,24%</w:t>
      </w:r>
      <w:r w:rsidR="00B450D6" w:rsidRPr="00734A98">
        <w:t>),</w:t>
      </w:r>
      <w:r w:rsidR="00B450D6" w:rsidRPr="007377E9">
        <w:t xml:space="preserve"> </w:t>
      </w:r>
      <w:r w:rsidR="00F070BA" w:rsidRPr="007377E9">
        <w:t xml:space="preserve">αφού </w:t>
      </w:r>
      <w:r w:rsidR="00996B59" w:rsidRPr="007377E9">
        <w:t xml:space="preserve">εισπράχθηκαν </w:t>
      </w:r>
      <w:r w:rsidR="00734A98" w:rsidRPr="00734A98">
        <w:t>2.600.973</w:t>
      </w:r>
      <w:r w:rsidR="00996B59" w:rsidRPr="007377E9">
        <w:t xml:space="preserve"> € έναντι </w:t>
      </w:r>
      <w:r w:rsidR="00CA688F" w:rsidRPr="007377E9">
        <w:t>στόχου</w:t>
      </w:r>
      <w:r w:rsidR="00996B59" w:rsidRPr="007377E9">
        <w:t xml:space="preserve"> </w:t>
      </w:r>
      <w:r w:rsidR="00734A98" w:rsidRPr="00734A98">
        <w:t>3.105.200</w:t>
      </w:r>
      <w:r w:rsidR="00734A98">
        <w:rPr>
          <w:color w:val="FF0000"/>
        </w:rPr>
        <w:t xml:space="preserve"> </w:t>
      </w:r>
      <w:r w:rsidR="00CA688F" w:rsidRPr="007377E9">
        <w:t>€</w:t>
      </w:r>
      <w:r w:rsidR="00B450D6" w:rsidRPr="007377E9">
        <w:t>.</w:t>
      </w:r>
      <w:r w:rsidR="00CA688F" w:rsidRPr="007377E9">
        <w:t xml:space="preserve"> Η αστοχία δικαιολογείται από το γεγονός ότι </w:t>
      </w:r>
      <w:r w:rsidR="00141B6B" w:rsidRPr="007377E9">
        <w:t>η λογιστική</w:t>
      </w:r>
      <w:r w:rsidR="00CA688F" w:rsidRPr="007377E9">
        <w:t xml:space="preserve"> τακτοποίηση </w:t>
      </w:r>
      <w:r w:rsidR="00141B6B" w:rsidRPr="007377E9">
        <w:t xml:space="preserve">της απόδοσης εισπραττόμενων τελών που αφορούν στο </w:t>
      </w:r>
      <w:bookmarkStart w:id="2" w:name="OLE_LINK4"/>
      <w:bookmarkStart w:id="3" w:name="OLE_LINK5"/>
      <w:bookmarkStart w:id="4" w:name="OLE_LINK6"/>
      <w:r w:rsidR="009A66BB">
        <w:t>Β</w:t>
      </w:r>
      <w:r w:rsidR="00141B6B" w:rsidRPr="007377E9">
        <w:t>΄ τρίμηνο</w:t>
      </w:r>
      <w:bookmarkEnd w:id="2"/>
      <w:bookmarkEnd w:id="3"/>
      <w:bookmarkEnd w:id="4"/>
      <w:r w:rsidR="00141B6B" w:rsidRPr="007377E9">
        <w:t xml:space="preserve"> του 2015 και </w:t>
      </w:r>
      <w:r w:rsidR="007079C3">
        <w:t>αντιστοιχούν</w:t>
      </w:r>
      <w:r w:rsidR="00141B6B" w:rsidRPr="007377E9">
        <w:t xml:space="preserve"> στο ποσό των </w:t>
      </w:r>
      <w:r w:rsidR="007A1E03" w:rsidRPr="007A1E03">
        <w:t>201.260</w:t>
      </w:r>
      <w:r w:rsidR="007A1E03" w:rsidRPr="007A1E03">
        <w:rPr>
          <w:color w:val="FF0000"/>
        </w:rPr>
        <w:t xml:space="preserve"> </w:t>
      </w:r>
      <w:r w:rsidR="00141B6B" w:rsidRPr="007377E9">
        <w:t xml:space="preserve">€ θα εμφανιστεί στο </w:t>
      </w:r>
      <w:r w:rsidR="009A66BB">
        <w:t>Γ</w:t>
      </w:r>
      <w:r w:rsidR="00141B6B" w:rsidRPr="007377E9">
        <w:t>΄ τρίμηνο.</w:t>
      </w:r>
      <w:r w:rsidR="00141B6B">
        <w:t xml:space="preserve"> </w:t>
      </w:r>
      <w:r w:rsidR="007079C3">
        <w:t xml:space="preserve">Υπολογίζοντας το ποσό αυτό στις εισπράξεις του </w:t>
      </w:r>
      <w:r w:rsidR="009A66BB">
        <w:t>Β</w:t>
      </w:r>
      <w:r w:rsidR="007079C3" w:rsidRPr="007377E9">
        <w:t>΄ τ</w:t>
      </w:r>
      <w:r w:rsidR="007079C3">
        <w:t>ρι</w:t>
      </w:r>
      <w:r w:rsidR="007079C3" w:rsidRPr="007377E9">
        <w:t>μήνο</w:t>
      </w:r>
      <w:r w:rsidR="007079C3">
        <w:t xml:space="preserve">υ αυτές ανέρχονται στα </w:t>
      </w:r>
      <w:r w:rsidR="007A1E03" w:rsidRPr="007A1E03">
        <w:t>2.802.233</w:t>
      </w:r>
      <w:r w:rsidR="007079C3">
        <w:t xml:space="preserve"> μειώνοντας την σχετική υστέρηση στα </w:t>
      </w:r>
      <w:r w:rsidR="007079C3" w:rsidRPr="007A1E03">
        <w:t>-</w:t>
      </w:r>
      <w:r w:rsidR="007A1E03" w:rsidRPr="007A1E03">
        <w:t>302.967</w:t>
      </w:r>
      <w:r w:rsidR="007079C3" w:rsidRPr="007A1E03">
        <w:t xml:space="preserve"> € (-</w:t>
      </w:r>
      <w:r w:rsidR="007A1E03" w:rsidRPr="007A1E03">
        <w:t>9.76</w:t>
      </w:r>
      <w:r w:rsidR="007079C3" w:rsidRPr="007A1E03">
        <w:t xml:space="preserve"> %).</w:t>
      </w:r>
    </w:p>
    <w:p w:rsidR="00C32A2C" w:rsidRPr="00C01237" w:rsidRDefault="00DE3C5E" w:rsidP="007079C3">
      <w:pPr>
        <w:spacing w:after="0" w:line="360" w:lineRule="auto"/>
        <w:jc w:val="both"/>
      </w:pPr>
      <w:r w:rsidRPr="00C01237">
        <w:t xml:space="preserve">Στην κατηγορία εσόδων 06 έσοδα από επιχορηγήσεις έχει εισπραχθεί ποσό </w:t>
      </w:r>
      <w:r w:rsidR="00FC43F3">
        <w:t>17.995.419</w:t>
      </w:r>
      <w:r w:rsidR="00AD280F" w:rsidRPr="00C01237">
        <w:t xml:space="preserve"> </w:t>
      </w:r>
      <w:r w:rsidRPr="00C01237">
        <w:t xml:space="preserve">€ από τα οποία ποσό </w:t>
      </w:r>
      <w:r w:rsidR="00C004A9" w:rsidRPr="00C004A9">
        <w:t>14.500.638</w:t>
      </w:r>
      <w:r w:rsidR="00451683" w:rsidRPr="00C01237">
        <w:t xml:space="preserve"> </w:t>
      </w:r>
      <w:r w:rsidR="00015E5A" w:rsidRPr="00C01237">
        <w:t>€ αφορά επιχορήγηση για προνοιακά επιδόματα</w:t>
      </w:r>
      <w:r w:rsidR="00AD280F" w:rsidRPr="00C01237">
        <w:t xml:space="preserve">, </w:t>
      </w:r>
      <w:r w:rsidR="00BE5BB6">
        <w:t>για</w:t>
      </w:r>
      <w:r w:rsidR="00451683" w:rsidRPr="00C01237">
        <w:t xml:space="preserve"> </w:t>
      </w:r>
      <w:r w:rsidR="00AD280F" w:rsidRPr="00C01237">
        <w:t xml:space="preserve">το οποίο </w:t>
      </w:r>
      <w:r w:rsidR="00451683" w:rsidRPr="00C01237">
        <w:t xml:space="preserve">έχει τεθεί στόχος </w:t>
      </w:r>
      <w:r w:rsidR="00EE16B9" w:rsidRPr="00EE16B9">
        <w:t>14.373.000</w:t>
      </w:r>
      <w:r w:rsidR="00AD280F" w:rsidRPr="00C01237">
        <w:t xml:space="preserve"> €</w:t>
      </w:r>
      <w:r w:rsidR="00015E5A" w:rsidRPr="00C01237">
        <w:t xml:space="preserve">. </w:t>
      </w:r>
      <w:r w:rsidR="00AD280F" w:rsidRPr="00C01237">
        <w:t xml:space="preserve">Το </w:t>
      </w:r>
      <w:r w:rsidR="00015E5A" w:rsidRPr="00C01237">
        <w:t xml:space="preserve">ποσό </w:t>
      </w:r>
      <w:r w:rsidR="00AD280F" w:rsidRPr="00C01237">
        <w:t xml:space="preserve">δε </w:t>
      </w:r>
      <w:r w:rsidR="00015E5A" w:rsidRPr="00C01237">
        <w:t xml:space="preserve">που προορίζεται για τον Δήμο </w:t>
      </w:r>
      <w:r w:rsidR="00AD280F" w:rsidRPr="00C01237">
        <w:t xml:space="preserve">από τους Κεντρικούς Αυτοτελείς Πόρους </w:t>
      </w:r>
      <w:r w:rsidR="00015E5A" w:rsidRPr="00C01237">
        <w:t xml:space="preserve">ανέρχεται στα </w:t>
      </w:r>
      <w:r w:rsidR="00FC43F3">
        <w:t>3.494.781</w:t>
      </w:r>
      <w:r w:rsidR="00015E5A" w:rsidRPr="00C01237">
        <w:t xml:space="preserve"> € έναντι </w:t>
      </w:r>
      <w:r w:rsidR="00451683" w:rsidRPr="00C01237">
        <w:t>αντίστοιχης</w:t>
      </w:r>
      <w:r w:rsidR="006F009C" w:rsidRPr="00C01237">
        <w:t xml:space="preserve"> πρόβλεψης </w:t>
      </w:r>
      <w:r w:rsidR="00FC43F3">
        <w:t>3.952.150</w:t>
      </w:r>
      <w:r w:rsidR="006F009C" w:rsidRPr="00C01237">
        <w:t xml:space="preserve"> €</w:t>
      </w:r>
      <w:r w:rsidR="00451683" w:rsidRPr="00C01237">
        <w:t xml:space="preserve"> [απόκλιση -</w:t>
      </w:r>
      <w:r w:rsidR="00FC43F3" w:rsidRPr="00FC43F3">
        <w:t>457.368,50</w:t>
      </w:r>
      <w:r w:rsidR="00451683" w:rsidRPr="00C01237">
        <w:t xml:space="preserve"> € (-</w:t>
      </w:r>
      <w:r w:rsidR="00FC43F3" w:rsidRPr="00FC43F3">
        <w:t>11,57</w:t>
      </w:r>
      <w:r w:rsidR="00451683" w:rsidRPr="00C01237">
        <w:t>%)]</w:t>
      </w:r>
      <w:r w:rsidR="00AD280F" w:rsidRPr="00C01237">
        <w:t>.</w:t>
      </w:r>
      <w:r w:rsidR="006F009C" w:rsidRPr="00C01237">
        <w:t xml:space="preserve"> </w:t>
      </w:r>
      <w:r w:rsidR="00451683" w:rsidRPr="00C01237">
        <w:t xml:space="preserve">.Η υστέρηση οφείλεται στην μη είσπραξη στο </w:t>
      </w:r>
      <w:r w:rsidR="00FC43F3">
        <w:t>Β</w:t>
      </w:r>
      <w:r w:rsidR="00451683" w:rsidRPr="00C01237">
        <w:t xml:space="preserve">΄ τρίμηνο ποσού </w:t>
      </w:r>
      <w:r w:rsidR="00FC43F3">
        <w:t>450.000</w:t>
      </w:r>
      <w:r w:rsidR="00451683" w:rsidRPr="00C01237">
        <w:t xml:space="preserve"> € </w:t>
      </w:r>
      <w:r w:rsidR="006E5F34" w:rsidRPr="006E5F34">
        <w:t xml:space="preserve">των παρακρατηθέντων πόρων προς τους Οργανισμούς Τοπικής Αυτοδιοίκησης (Ο.Τ.Α.) </w:t>
      </w:r>
      <w:r w:rsidR="002F3307">
        <w:t>Α</w:t>
      </w:r>
      <w:r w:rsidR="006E5F34" w:rsidRPr="006E5F34">
        <w:t>΄ βαθμού που ρυθμίστηκε με  τις διατάξεις του άρθρου 27 του Ν. 3756/09</w:t>
      </w:r>
      <w:r w:rsidR="00FC43F3">
        <w:t xml:space="preserve"> καθώς και </w:t>
      </w:r>
      <w:r w:rsidR="00FC43F3" w:rsidRPr="00FC43F3">
        <w:t>129.600</w:t>
      </w:r>
      <w:r w:rsidR="00FC43F3">
        <w:t xml:space="preserve"> € που αντιστοιχεί στη τακτική κρατική επιχορήγηση</w:t>
      </w:r>
      <w:r w:rsidR="002B28AA" w:rsidRPr="00C01237">
        <w:t>.</w:t>
      </w:r>
    </w:p>
    <w:p w:rsidR="00D934F9" w:rsidRPr="008A3BB3" w:rsidRDefault="00D934F9" w:rsidP="00D934F9">
      <w:pPr>
        <w:spacing w:after="0" w:line="360" w:lineRule="auto"/>
        <w:jc w:val="both"/>
      </w:pPr>
      <w:r w:rsidRPr="008A3BB3">
        <w:t>Όσον αφορά τα έκτακτα έσοδα, από επιχορηγήσεις (Κ.Α. 12 και Κ.Α. 13), ο κύριος όγκος αυτών είναι οι επιχορηγήσεις για την εκτέλεση χρηματοδοτούμενων έργων τα οποία είναι ενταγμένα σε συγκεκριμένα χρηματοδοτικά προγράμματα, η χρηματοδότηση τους είναι</w:t>
      </w:r>
      <w:r w:rsidR="00EB197B" w:rsidRPr="008A3BB3">
        <w:t xml:space="preserve"> </w:t>
      </w:r>
      <w:r w:rsidRPr="008A3BB3">
        <w:t>εξασφαλισμένη και εξαρτάται από την πορεία εκτέλεσης των έργων.</w:t>
      </w:r>
    </w:p>
    <w:p w:rsidR="00C56B06" w:rsidRPr="00643D65" w:rsidRDefault="00D934F9" w:rsidP="00D934F9">
      <w:pPr>
        <w:spacing w:after="0" w:line="360" w:lineRule="auto"/>
        <w:jc w:val="both"/>
      </w:pPr>
      <w:r w:rsidRPr="00643D65">
        <w:t>Συγκεκριμένα στα έσοδα από επιχορηγήσεις για κάλυψη λειτουργικών δαπανών (Κ.Α.12), που αφορούν εισπράξεις για δαπάνες π</w:t>
      </w:r>
      <w:r w:rsidR="00C32A2C" w:rsidRPr="00643D65">
        <w:t>υρο</w:t>
      </w:r>
      <w:r w:rsidRPr="00643D65">
        <w:t xml:space="preserve">προστασίας και Βοήθεια στο Σπίτι, </w:t>
      </w:r>
      <w:r w:rsidR="00C56B06" w:rsidRPr="00643D65">
        <w:t xml:space="preserve">δεν παρατηρείται υστέρηση αφού </w:t>
      </w:r>
      <w:r w:rsidRPr="00643D65">
        <w:t xml:space="preserve">έχουν εισπραχθεί </w:t>
      </w:r>
      <w:r w:rsidR="00D26725">
        <w:t>133.754</w:t>
      </w:r>
      <w:r w:rsidR="008A3BB3" w:rsidRPr="00643D65">
        <w:t xml:space="preserve"> </w:t>
      </w:r>
      <w:r w:rsidRPr="00643D65">
        <w:t xml:space="preserve">€ </w:t>
      </w:r>
      <w:r w:rsidR="00C56B06" w:rsidRPr="00643D65">
        <w:t>επί μηδενικού στόχου</w:t>
      </w:r>
      <w:r w:rsidR="00B87E95" w:rsidRPr="00643D65">
        <w:t>.</w:t>
      </w:r>
    </w:p>
    <w:p w:rsidR="008652B0" w:rsidRPr="00643D65" w:rsidRDefault="00D934F9" w:rsidP="00D934F9">
      <w:pPr>
        <w:spacing w:after="0" w:line="360" w:lineRule="auto"/>
        <w:jc w:val="both"/>
      </w:pPr>
      <w:r w:rsidRPr="00643D65">
        <w:t xml:space="preserve">Στα έσοδα από επιχορηγήσεις για κάλυψη επενδυτικών δαπανών (Κ.Α.13), έχουν εισπραχθεί </w:t>
      </w:r>
      <w:r w:rsidR="00D26725">
        <w:t>539.981</w:t>
      </w:r>
      <w:r w:rsidRPr="00643D65">
        <w:t xml:space="preserve"> €. Στην κατηγορία εσόδων αυτή περιλαμβάνονται τα έσοδα από ΚΑΠ επενδυτικών δαπανών (πρώην ΣΑΤΑ) και πιστώσεις γα την κάλυψη δαπανών επισκευών και συντηρήσεων σχολείων η είσπραξη </w:t>
      </w:r>
      <w:r w:rsidR="00C56B06" w:rsidRPr="00643D65">
        <w:t>έχει διαμορφωθεί</w:t>
      </w:r>
      <w:r w:rsidR="007440C8">
        <w:t xml:space="preserve"> για την μεν ΣΑΤΑ</w:t>
      </w:r>
      <w:r w:rsidR="0056316C" w:rsidRPr="00643D65">
        <w:t xml:space="preserve"> </w:t>
      </w:r>
      <w:r w:rsidR="0056316C" w:rsidRPr="007440C8">
        <w:t xml:space="preserve">στα </w:t>
      </w:r>
      <w:r w:rsidR="007440C8" w:rsidRPr="007440C8">
        <w:t>110.080</w:t>
      </w:r>
      <w:r w:rsidR="0056316C" w:rsidRPr="007440C8">
        <w:t xml:space="preserve"> €</w:t>
      </w:r>
      <w:r w:rsidR="0056316C" w:rsidRPr="00643D65">
        <w:t xml:space="preserve"> σε σχέση με</w:t>
      </w:r>
      <w:r w:rsidR="00976F1C" w:rsidRPr="00643D65">
        <w:t xml:space="preserve"> </w:t>
      </w:r>
      <w:r w:rsidR="00C56B06" w:rsidRPr="00643D65">
        <w:t>τον στόχο</w:t>
      </w:r>
      <w:r w:rsidR="0056316C" w:rsidRPr="00643D65">
        <w:t xml:space="preserve"> </w:t>
      </w:r>
      <w:r w:rsidR="00C56B06" w:rsidRPr="00643D65">
        <w:t xml:space="preserve">που έχει τεθεί </w:t>
      </w:r>
      <w:r w:rsidR="00643D65" w:rsidRPr="00643D65">
        <w:t>ο οποίος</w:t>
      </w:r>
      <w:r w:rsidR="00C56B06" w:rsidRPr="00643D65">
        <w:t xml:space="preserve"> ανέρχεται</w:t>
      </w:r>
      <w:r w:rsidR="00976F1C" w:rsidRPr="00643D65">
        <w:t xml:space="preserve"> </w:t>
      </w:r>
      <w:r w:rsidR="00C56B06" w:rsidRPr="007440C8">
        <w:t xml:space="preserve">στα </w:t>
      </w:r>
      <w:r w:rsidR="007440C8" w:rsidRPr="007440C8">
        <w:t>140.940</w:t>
      </w:r>
      <w:r w:rsidR="00643D65" w:rsidRPr="00643D65">
        <w:t xml:space="preserve"> €</w:t>
      </w:r>
      <w:r w:rsidRPr="00643D65">
        <w:t xml:space="preserve">. </w:t>
      </w:r>
      <w:r w:rsidR="00976F1C" w:rsidRPr="00643D65">
        <w:t>Π</w:t>
      </w:r>
      <w:r w:rsidR="00334739" w:rsidRPr="00643D65">
        <w:t xml:space="preserve">αρουσιάζεται </w:t>
      </w:r>
      <w:r w:rsidR="00976F1C" w:rsidRPr="00643D65">
        <w:t xml:space="preserve">μία </w:t>
      </w:r>
      <w:r w:rsidR="006E46D4" w:rsidRPr="00643D65">
        <w:t xml:space="preserve">απόκλιση </w:t>
      </w:r>
      <w:r w:rsidR="006E46D4" w:rsidRPr="007440C8">
        <w:t xml:space="preserve">των </w:t>
      </w:r>
      <w:r w:rsidR="007440C8" w:rsidRPr="007440C8">
        <w:t>-30.860</w:t>
      </w:r>
      <w:r w:rsidR="007440C8">
        <w:rPr>
          <w:color w:val="FF0000"/>
        </w:rPr>
        <w:t xml:space="preserve"> </w:t>
      </w:r>
      <w:r w:rsidR="00334739" w:rsidRPr="00643D65">
        <w:t>€,</w:t>
      </w:r>
      <w:r w:rsidR="00984DEB">
        <w:t xml:space="preserve"> </w:t>
      </w:r>
      <w:r w:rsidR="006E46D4" w:rsidRPr="007440C8">
        <w:t xml:space="preserve">η οποία αντιστοιχεί </w:t>
      </w:r>
      <w:r w:rsidR="004464B4">
        <w:t>σε μία</w:t>
      </w:r>
      <w:r w:rsidR="00334739" w:rsidRPr="007440C8">
        <w:t xml:space="preserve"> δόση </w:t>
      </w:r>
      <w:r w:rsidR="006E46D4" w:rsidRPr="007440C8">
        <w:t>της ΣΑΤΑ</w:t>
      </w:r>
    </w:p>
    <w:p w:rsidR="00D934F9" w:rsidRDefault="00D934F9" w:rsidP="00D934F9">
      <w:pPr>
        <w:spacing w:after="0" w:line="360" w:lineRule="auto"/>
        <w:jc w:val="both"/>
      </w:pPr>
      <w:r w:rsidRPr="00053F71">
        <w:t xml:space="preserve">Επιπλέον εγγράφονται οι επιχορηγήσεις για έργα. Στην συγκεκριμένη κατηγορία </w:t>
      </w:r>
      <w:r w:rsidR="008652B0" w:rsidRPr="00053F71">
        <w:t xml:space="preserve">όπου έχουν </w:t>
      </w:r>
      <w:r w:rsidR="008652B0" w:rsidRPr="001A3C17">
        <w:t xml:space="preserve">εισπραχτεί </w:t>
      </w:r>
      <w:r w:rsidR="001A3C17" w:rsidRPr="001A3C17">
        <w:t>429.901</w:t>
      </w:r>
      <w:r w:rsidR="008652B0" w:rsidRPr="00053F71">
        <w:t xml:space="preserve"> €, </w:t>
      </w:r>
      <w:r w:rsidRPr="00053F71">
        <w:t xml:space="preserve">υπάρχει υστέρηση </w:t>
      </w:r>
      <w:r w:rsidR="008652B0" w:rsidRPr="00053F71">
        <w:t xml:space="preserve">σε σχέση με </w:t>
      </w:r>
      <w:r w:rsidR="002C5B3C">
        <w:t xml:space="preserve">τον αρχικό </w:t>
      </w:r>
      <w:r w:rsidR="008652B0" w:rsidRPr="00053F71">
        <w:t xml:space="preserve"> </w:t>
      </w:r>
      <w:r w:rsidR="002C5B3C">
        <w:t>στόχο ο οποίος ανέρχεται</w:t>
      </w:r>
      <w:r w:rsidR="008652B0" w:rsidRPr="00053F71">
        <w:t xml:space="preserve"> στα </w:t>
      </w:r>
      <w:r w:rsidR="001A3C17">
        <w:t>1.252.</w:t>
      </w:r>
      <w:r w:rsidR="001A3C17" w:rsidRPr="001A3C17">
        <w:t>200</w:t>
      </w:r>
      <w:r w:rsidR="008652B0" w:rsidRPr="001A3C17">
        <w:t xml:space="preserve"> € </w:t>
      </w:r>
      <w:r w:rsidR="00053F71" w:rsidRPr="001A3C17">
        <w:t>(-</w:t>
      </w:r>
      <w:r w:rsidR="001A3C17" w:rsidRPr="001A3C17">
        <w:t>822.298</w:t>
      </w:r>
      <w:r w:rsidR="008652B0" w:rsidRPr="001A3C17">
        <w:t xml:space="preserve"> €)</w:t>
      </w:r>
      <w:r w:rsidRPr="00053F71">
        <w:t>, η οποία είναι συνδεδεμένη βέβαια, με την πορεία εκτέλεσης αυτών</w:t>
      </w:r>
      <w:r w:rsidR="00053F71" w:rsidRPr="00053F71">
        <w:t>.</w:t>
      </w:r>
      <w:r w:rsidR="008652B0" w:rsidRPr="00053F71">
        <w:t xml:space="preserve"> </w:t>
      </w:r>
      <w:r w:rsidRPr="00053F71">
        <w:t>Σε κάθε περίπτωση</w:t>
      </w:r>
      <w:r w:rsidR="00334739" w:rsidRPr="00053F71">
        <w:t xml:space="preserve"> δεν επηρεάζονται τα ιδία έσοδα, </w:t>
      </w:r>
      <w:r w:rsidR="00334739" w:rsidRPr="004464B4">
        <w:rPr>
          <w:u w:val="single"/>
        </w:rPr>
        <w:t xml:space="preserve">είναι </w:t>
      </w:r>
      <w:r w:rsidR="00053F71" w:rsidRPr="004464B4">
        <w:rPr>
          <w:u w:val="single"/>
        </w:rPr>
        <w:t xml:space="preserve">όμως </w:t>
      </w:r>
      <w:r w:rsidR="00334739" w:rsidRPr="004464B4">
        <w:rPr>
          <w:u w:val="single"/>
        </w:rPr>
        <w:t xml:space="preserve">απαραίτητη </w:t>
      </w:r>
      <w:r w:rsidR="001E43BD" w:rsidRPr="004464B4">
        <w:rPr>
          <w:u w:val="single"/>
        </w:rPr>
        <w:t>η τακτοποίηση των εν λόγω Κ.Α. τόσο σκέλος των εσόδων όσο και στο σκέλος των εξόδων στο ύψος τ</w:t>
      </w:r>
      <w:r w:rsidR="00825141" w:rsidRPr="004464B4">
        <w:rPr>
          <w:u w:val="single"/>
        </w:rPr>
        <w:t>ου</w:t>
      </w:r>
      <w:r w:rsidR="001E43BD" w:rsidRPr="004464B4">
        <w:rPr>
          <w:u w:val="single"/>
        </w:rPr>
        <w:t xml:space="preserve"> ανεκτέλεστ</w:t>
      </w:r>
      <w:r w:rsidR="00825141" w:rsidRPr="004464B4">
        <w:rPr>
          <w:u w:val="single"/>
        </w:rPr>
        <w:t>ου</w:t>
      </w:r>
      <w:r w:rsidR="001E43BD" w:rsidRPr="004464B4">
        <w:rPr>
          <w:u w:val="single"/>
        </w:rPr>
        <w:t xml:space="preserve"> έργ</w:t>
      </w:r>
      <w:r w:rsidR="00825141" w:rsidRPr="004464B4">
        <w:rPr>
          <w:u w:val="single"/>
        </w:rPr>
        <w:t>ου</w:t>
      </w:r>
      <w:r w:rsidRPr="00053F71">
        <w:t>.</w:t>
      </w:r>
    </w:p>
    <w:p w:rsidR="00AD7698" w:rsidRPr="00AD7698" w:rsidRDefault="00AD7698" w:rsidP="00D934F9">
      <w:pPr>
        <w:spacing w:after="0" w:line="360" w:lineRule="auto"/>
        <w:jc w:val="both"/>
        <w:rPr>
          <w:rFonts w:asciiTheme="minorHAnsi" w:hAnsiTheme="minorHAnsi" w:cstheme="minorHAnsi"/>
        </w:rPr>
      </w:pPr>
      <w:r w:rsidRPr="00AD7698">
        <w:t xml:space="preserve">Σχετικά με τα εισπρακτέα υπόλοιπα προηγούμενων οικονομικών ετών (Κ.Α. 32) το </w:t>
      </w:r>
      <w:r w:rsidR="00D26725">
        <w:t>Β</w:t>
      </w:r>
      <w:r w:rsidRPr="00AD7698">
        <w:t xml:space="preserve">΄ τρίμηνο του 2015 έχουν </w:t>
      </w:r>
      <w:r w:rsidRPr="001A3C17">
        <w:t xml:space="preserve">εισπραχθεί </w:t>
      </w:r>
      <w:r w:rsidR="001A3C17" w:rsidRPr="001A3C17">
        <w:rPr>
          <w:rFonts w:asciiTheme="minorHAnsi" w:hAnsiTheme="minorHAnsi" w:cstheme="minorHAnsi"/>
        </w:rPr>
        <w:t>156.822</w:t>
      </w:r>
      <w:r w:rsidRPr="00AD7698">
        <w:rPr>
          <w:rFonts w:asciiTheme="minorHAnsi" w:hAnsiTheme="minorHAnsi" w:cstheme="minorHAnsi"/>
        </w:rPr>
        <w:t xml:space="preserve"> € έναντι στόχου για αντίστοιχο διάστημα τα </w:t>
      </w:r>
      <w:r w:rsidR="001A3C17" w:rsidRPr="001A3C17">
        <w:rPr>
          <w:rFonts w:asciiTheme="minorHAnsi" w:hAnsiTheme="minorHAnsi" w:cstheme="minorHAnsi"/>
        </w:rPr>
        <w:t>219.962</w:t>
      </w:r>
      <w:r w:rsidRPr="00AD7698">
        <w:rPr>
          <w:rFonts w:asciiTheme="minorHAnsi" w:hAnsiTheme="minorHAnsi" w:cstheme="minorHAnsi"/>
        </w:rPr>
        <w:t xml:space="preserve"> €, που αντιστοιχεί σε </w:t>
      </w:r>
      <w:r w:rsidRPr="001A3C17">
        <w:rPr>
          <w:rFonts w:asciiTheme="minorHAnsi" w:hAnsiTheme="minorHAnsi" w:cstheme="minorHAnsi"/>
        </w:rPr>
        <w:t xml:space="preserve">υστέρηση  </w:t>
      </w:r>
      <w:r w:rsidR="001A3C17" w:rsidRPr="001A3C17">
        <w:rPr>
          <w:rFonts w:asciiTheme="minorHAnsi" w:hAnsiTheme="minorHAnsi" w:cstheme="minorHAnsi"/>
        </w:rPr>
        <w:t xml:space="preserve">-63.139 </w:t>
      </w:r>
      <w:r w:rsidRPr="001A3C17">
        <w:rPr>
          <w:rFonts w:asciiTheme="minorHAnsi" w:hAnsiTheme="minorHAnsi" w:cstheme="minorHAnsi"/>
        </w:rPr>
        <w:t>€, ποσοστό</w:t>
      </w:r>
      <w:r w:rsidRPr="00AD7698">
        <w:rPr>
          <w:rFonts w:asciiTheme="minorHAnsi" w:hAnsiTheme="minorHAnsi" w:cstheme="minorHAnsi"/>
        </w:rPr>
        <w:t xml:space="preserve"> </w:t>
      </w:r>
      <w:r w:rsidRPr="001A3C17">
        <w:rPr>
          <w:rFonts w:asciiTheme="minorHAnsi" w:hAnsiTheme="minorHAnsi" w:cstheme="minorHAnsi"/>
        </w:rPr>
        <w:t>υστέρησης (-</w:t>
      </w:r>
      <w:r w:rsidR="001A3C17" w:rsidRPr="001A3C17">
        <w:rPr>
          <w:rFonts w:asciiTheme="minorHAnsi" w:hAnsiTheme="minorHAnsi" w:cstheme="minorHAnsi"/>
        </w:rPr>
        <w:t>28,70</w:t>
      </w:r>
      <w:r w:rsidRPr="001A3C17">
        <w:rPr>
          <w:rFonts w:asciiTheme="minorHAnsi" w:hAnsiTheme="minorHAnsi" w:cstheme="minorHAnsi"/>
        </w:rPr>
        <w:t>%).</w:t>
      </w:r>
    </w:p>
    <w:p w:rsidR="00D934F9" w:rsidRPr="00AD7698" w:rsidRDefault="00D934F9" w:rsidP="00D934F9">
      <w:pPr>
        <w:spacing w:after="0" w:line="360" w:lineRule="auto"/>
        <w:jc w:val="both"/>
      </w:pPr>
      <w:r w:rsidRPr="00AD7698">
        <w:t xml:space="preserve">Τέλος, στην κατηγορία εσόδων 4 που προβλέπονται οι εισπράξεις υπέρ δημοσίου, έχουν </w:t>
      </w:r>
      <w:r w:rsidRPr="00BB1992">
        <w:t xml:space="preserve">εισπραχτεί </w:t>
      </w:r>
      <w:r w:rsidR="00EC272C" w:rsidRPr="00BB1992">
        <w:t>1.400.229</w:t>
      </w:r>
      <w:r w:rsidR="00AD7698" w:rsidRPr="00BB1992">
        <w:t xml:space="preserve"> </w:t>
      </w:r>
      <w:r w:rsidRPr="00BB1992">
        <w:t>€</w:t>
      </w:r>
      <w:r w:rsidR="007246E2" w:rsidRPr="00AD7698">
        <w:t xml:space="preserve"> έναντι </w:t>
      </w:r>
      <w:r w:rsidR="00AD7698" w:rsidRPr="00AD7698">
        <w:t>τιθέμενου στόχου</w:t>
      </w:r>
      <w:r w:rsidR="007246E2" w:rsidRPr="00AD7698">
        <w:t xml:space="preserve"> </w:t>
      </w:r>
      <w:r w:rsidR="00EC272C" w:rsidRPr="00BB1992">
        <w:t xml:space="preserve">1.795.030 </w:t>
      </w:r>
      <w:r w:rsidR="007246E2" w:rsidRPr="00BB1992">
        <w:t>€</w:t>
      </w:r>
      <w:r w:rsidRPr="00BB1992">
        <w:t>,</w:t>
      </w:r>
      <w:r w:rsidRPr="00AD7698">
        <w:t xml:space="preserve"> που αφορά </w:t>
      </w:r>
      <w:r w:rsidR="00CD5F6A" w:rsidRPr="00AD7698">
        <w:t xml:space="preserve">κυρίως </w:t>
      </w:r>
      <w:r w:rsidRPr="00AD7698">
        <w:t xml:space="preserve">ποσά κρατήσεων από μισθωτούς, προμηθευτές και τρίτους με τους οποίους συναλλάσσεται ο Δήμος. Η χρήση των λογαριασμών αυτών πραγματοποιείται επειδή ο Δήμος διαχειρίζεται τις κρατήσεις του </w:t>
      </w:r>
      <w:proofErr w:type="spellStart"/>
      <w:r w:rsidRPr="00AD7698">
        <w:t>ε</w:t>
      </w:r>
      <w:r w:rsidR="00CD5F6A" w:rsidRPr="00AD7698">
        <w:t>νδο</w:t>
      </w:r>
      <w:r w:rsidRPr="00AD7698">
        <w:t>προϋπολογιστικά</w:t>
      </w:r>
      <w:proofErr w:type="spellEnd"/>
      <w:r w:rsidRPr="00AD7698">
        <w:t>.</w:t>
      </w:r>
    </w:p>
    <w:p w:rsidR="00D934F9" w:rsidRPr="00AD7698" w:rsidRDefault="00D934F9" w:rsidP="00D934F9">
      <w:pPr>
        <w:spacing w:after="0" w:line="360" w:lineRule="auto"/>
        <w:jc w:val="both"/>
      </w:pPr>
      <w:r w:rsidRPr="00AD7698">
        <w:t xml:space="preserve">Επιπλέον περιλαμβάνονται όλες οι επιστροφές χρημάτων προς το Δήμο, εν </w:t>
      </w:r>
      <w:proofErr w:type="spellStart"/>
      <w:r w:rsidRPr="00AD7698">
        <w:t>είδει</w:t>
      </w:r>
      <w:proofErr w:type="spellEnd"/>
      <w:r w:rsidRPr="00AD7698">
        <w:t xml:space="preserve"> εσόδων, οι οποίες είτε έρχονται αφαιρετικά στα έξοδα (επιστροφή </w:t>
      </w:r>
      <w:proofErr w:type="spellStart"/>
      <w:r w:rsidRPr="00AD7698">
        <w:t>αχρεωστήτων</w:t>
      </w:r>
      <w:proofErr w:type="spellEnd"/>
      <w:r w:rsidRPr="00AD7698">
        <w:t xml:space="preserve"> καταβληθέντων), είτε τακτοποιούν λογαριασμούς χρεωστών (επιστροφές χρημάτων υπολόγων και διαχειριστών). Συνολικά οι συγκεκριμένες εισπράξεις δεν επηρεάζουν την ουσία των πραγματικών (ιδίων εσόδων) του Δήμου και συνήθως, δεν απαιτείται οποιαδήποτε διορθωτική κίνηση στον προϋπολογισμό για την παραπάνω κατηγορία εσόδων.</w:t>
      </w:r>
    </w:p>
    <w:p w:rsidR="0057153C" w:rsidRDefault="00231AF6" w:rsidP="00D934F9">
      <w:pPr>
        <w:spacing w:after="0" w:line="360" w:lineRule="auto"/>
        <w:jc w:val="both"/>
      </w:pPr>
      <w:r w:rsidRPr="00AD7698">
        <w:t xml:space="preserve">Ανακεφαλαιώνοντας παρατίθεται πίνακας ανά </w:t>
      </w:r>
      <w:r w:rsidR="004E6049" w:rsidRPr="00AD7698">
        <w:t>προέλευση εσόδου</w:t>
      </w:r>
      <w:r w:rsidRPr="00AD7698">
        <w:t xml:space="preserve"> συγκρίνοντας τις αποκλίσεις δεδομένου του αρχικού προϋπολογισμού – στοχοθεσίας και </w:t>
      </w:r>
      <w:r w:rsidR="004E6049" w:rsidRPr="00AD7698">
        <w:t>των τελικώς</w:t>
      </w:r>
      <w:r w:rsidRPr="00AD7698">
        <w:t xml:space="preserve"> διαμορφωθέντων  ποσών το 2014.</w:t>
      </w:r>
    </w:p>
    <w:p w:rsidR="009B13E0" w:rsidRPr="00801FDF" w:rsidRDefault="00AC75F8" w:rsidP="00801FDF">
      <w:pPr>
        <w:spacing w:after="0" w:line="360" w:lineRule="auto"/>
        <w:jc w:val="center"/>
        <w:rPr>
          <w:b/>
        </w:rPr>
      </w:pPr>
      <w:r w:rsidRPr="00801FDF">
        <w:rPr>
          <w:b/>
        </w:rPr>
        <w:t>ΕΣΟΔΑ 1/1 -</w:t>
      </w:r>
      <w:r w:rsidR="00AC5F6E">
        <w:rPr>
          <w:b/>
        </w:rPr>
        <w:t xml:space="preserve"> </w:t>
      </w:r>
      <w:r w:rsidR="00EC272C">
        <w:rPr>
          <w:b/>
        </w:rPr>
        <w:t>30</w:t>
      </w:r>
      <w:r w:rsidR="00EB1CA5">
        <w:rPr>
          <w:b/>
        </w:rPr>
        <w:t>/</w:t>
      </w:r>
      <w:r w:rsidR="00EC272C">
        <w:rPr>
          <w:b/>
        </w:rPr>
        <w:t>6</w:t>
      </w:r>
      <w:r w:rsidR="00EB1CA5">
        <w:rPr>
          <w:b/>
        </w:rPr>
        <w:t>/</w:t>
      </w:r>
      <w:r w:rsidRPr="00801FDF">
        <w:rPr>
          <w:b/>
        </w:rPr>
        <w:t>201</w:t>
      </w:r>
      <w:r w:rsidR="00EB1CA5">
        <w:rPr>
          <w:b/>
        </w:rPr>
        <w:t>5</w:t>
      </w:r>
      <w:r w:rsidRPr="00801FDF">
        <w:rPr>
          <w:b/>
        </w:rPr>
        <w:t xml:space="preserve"> ΑΝΑ </w:t>
      </w:r>
      <w:r w:rsidR="00801FDF" w:rsidRPr="00801FDF">
        <w:rPr>
          <w:b/>
        </w:rPr>
        <w:t>ΠΗΓΗ ΠΡΟΕΛΕΥΣΗΣ σε €</w:t>
      </w:r>
    </w:p>
    <w:tbl>
      <w:tblPr>
        <w:tblStyle w:val="-5"/>
        <w:tblW w:w="8437" w:type="dxa"/>
        <w:tblLook w:val="04E0"/>
      </w:tblPr>
      <w:tblGrid>
        <w:gridCol w:w="2376"/>
        <w:gridCol w:w="1280"/>
        <w:gridCol w:w="1298"/>
        <w:gridCol w:w="1275"/>
        <w:gridCol w:w="1107"/>
        <w:gridCol w:w="1101"/>
      </w:tblGrid>
      <w:tr w:rsidR="00AC5F6E" w:rsidRPr="00801FDF" w:rsidTr="00AC5F6E">
        <w:trPr>
          <w:cnfStyle w:val="100000000000"/>
          <w:trHeight w:val="315"/>
        </w:trPr>
        <w:tc>
          <w:tcPr>
            <w:cnfStyle w:val="001000000000"/>
            <w:tcW w:w="2376" w:type="dxa"/>
            <w:hideMark/>
          </w:tcPr>
          <w:p w:rsidR="00EB1CA5" w:rsidRPr="00801FDF" w:rsidRDefault="00EB1CA5" w:rsidP="009B13E0">
            <w:pPr>
              <w:spacing w:after="0" w:line="240" w:lineRule="auto"/>
              <w:jc w:val="center"/>
              <w:rPr>
                <w:rFonts w:eastAsia="Times New Roman"/>
                <w:bCs w:val="0"/>
                <w:color w:val="000000"/>
                <w:sz w:val="20"/>
                <w:szCs w:val="20"/>
                <w:lang w:eastAsia="el-GR"/>
              </w:rPr>
            </w:pPr>
            <w:r w:rsidRPr="00801FDF">
              <w:rPr>
                <w:rFonts w:eastAsia="Times New Roman"/>
                <w:bCs w:val="0"/>
                <w:color w:val="000000"/>
                <w:sz w:val="20"/>
                <w:szCs w:val="20"/>
                <w:lang w:eastAsia="el-GR"/>
              </w:rPr>
              <w:t>ΠΕΡΙΓΡΑΦΗ ΕΣΟΔΟΥ</w:t>
            </w:r>
          </w:p>
        </w:tc>
        <w:tc>
          <w:tcPr>
            <w:tcW w:w="1280" w:type="dxa"/>
            <w:noWrap/>
            <w:hideMark/>
          </w:tcPr>
          <w:p w:rsidR="00EB1CA5"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ΔΙΑΜ/ΘΕΙΣ</w:t>
            </w:r>
          </w:p>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Π</w:t>
            </w:r>
            <w:r w:rsidRPr="00801FDF">
              <w:rPr>
                <w:rFonts w:eastAsia="Times New Roman"/>
                <w:bCs w:val="0"/>
                <w:color w:val="000000"/>
                <w:sz w:val="20"/>
                <w:szCs w:val="20"/>
                <w:lang w:eastAsia="el-GR"/>
              </w:rPr>
              <w:t>/Υ</w:t>
            </w:r>
          </w:p>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(1)</w:t>
            </w:r>
          </w:p>
        </w:tc>
        <w:tc>
          <w:tcPr>
            <w:tcW w:w="1298" w:type="dxa"/>
            <w:noWrap/>
            <w:hideMark/>
          </w:tcPr>
          <w:p w:rsidR="00EB1CA5" w:rsidRPr="004E6049" w:rsidRDefault="00EB1CA5" w:rsidP="00004C53">
            <w:pPr>
              <w:spacing w:after="0" w:line="240" w:lineRule="auto"/>
              <w:jc w:val="center"/>
              <w:cnfStyle w:val="100000000000"/>
              <w:rPr>
                <w:rFonts w:eastAsia="Times New Roman"/>
                <w:bCs w:val="0"/>
                <w:color w:val="000000"/>
                <w:sz w:val="20"/>
                <w:szCs w:val="20"/>
                <w:lang w:eastAsia="el-GR"/>
              </w:rPr>
            </w:pPr>
            <w:r w:rsidRPr="004E6049">
              <w:rPr>
                <w:rFonts w:eastAsia="Times New Roman"/>
                <w:bCs w:val="0"/>
                <w:color w:val="000000"/>
                <w:sz w:val="20"/>
                <w:szCs w:val="20"/>
                <w:lang w:eastAsia="el-GR"/>
              </w:rPr>
              <w:t xml:space="preserve">ΕΙΣΠΡΑΞΕΙΣ </w:t>
            </w:r>
            <w:r w:rsidR="00AC5F6E">
              <w:rPr>
                <w:rFonts w:eastAsia="Times New Roman"/>
                <w:bCs w:val="0"/>
                <w:color w:val="000000"/>
                <w:sz w:val="20"/>
                <w:szCs w:val="20"/>
                <w:lang w:eastAsia="el-GR"/>
              </w:rPr>
              <w:t>1/1-3</w:t>
            </w:r>
            <w:r w:rsidR="00EC272C">
              <w:rPr>
                <w:rFonts w:eastAsia="Times New Roman"/>
                <w:bCs w:val="0"/>
                <w:color w:val="000000"/>
                <w:sz w:val="20"/>
                <w:szCs w:val="20"/>
                <w:lang w:eastAsia="el-GR"/>
              </w:rPr>
              <w:t>0</w:t>
            </w:r>
            <w:r w:rsidR="00AC5F6E">
              <w:rPr>
                <w:rFonts w:eastAsia="Times New Roman"/>
                <w:bCs w:val="0"/>
                <w:color w:val="000000"/>
                <w:sz w:val="20"/>
                <w:szCs w:val="20"/>
                <w:lang w:eastAsia="el-GR"/>
              </w:rPr>
              <w:t>/</w:t>
            </w:r>
            <w:r w:rsidR="00EC272C">
              <w:rPr>
                <w:rFonts w:eastAsia="Times New Roman"/>
                <w:bCs w:val="0"/>
                <w:color w:val="000000"/>
                <w:sz w:val="20"/>
                <w:szCs w:val="20"/>
                <w:lang w:eastAsia="el-GR"/>
              </w:rPr>
              <w:t>6</w:t>
            </w:r>
            <w:r w:rsidR="00AC5F6E">
              <w:rPr>
                <w:rFonts w:eastAsia="Times New Roman"/>
                <w:bCs w:val="0"/>
                <w:color w:val="000000"/>
                <w:sz w:val="20"/>
                <w:szCs w:val="20"/>
                <w:lang w:eastAsia="el-GR"/>
              </w:rPr>
              <w:t>/</w:t>
            </w:r>
            <w:r w:rsidR="00AC5F6E" w:rsidRPr="00AC5F6E">
              <w:rPr>
                <w:rFonts w:eastAsia="Times New Roman"/>
                <w:bCs w:val="0"/>
                <w:color w:val="000000"/>
                <w:sz w:val="20"/>
                <w:szCs w:val="20"/>
                <w:lang w:eastAsia="el-GR"/>
              </w:rPr>
              <w:t>15</w:t>
            </w:r>
          </w:p>
          <w:p w:rsidR="00EB1CA5" w:rsidRPr="004E6049" w:rsidRDefault="00EB1CA5" w:rsidP="00EB1CA5">
            <w:pPr>
              <w:spacing w:after="0" w:line="240" w:lineRule="auto"/>
              <w:jc w:val="center"/>
              <w:cnfStyle w:val="100000000000"/>
              <w:rPr>
                <w:rFonts w:eastAsia="Times New Roman"/>
                <w:bCs w:val="0"/>
                <w:color w:val="000000"/>
                <w:sz w:val="20"/>
                <w:szCs w:val="20"/>
                <w:lang w:eastAsia="el-GR"/>
              </w:rPr>
            </w:pPr>
            <w:r w:rsidRPr="004E6049">
              <w:rPr>
                <w:rFonts w:eastAsia="Times New Roman"/>
                <w:bCs w:val="0"/>
                <w:color w:val="000000"/>
                <w:sz w:val="20"/>
                <w:szCs w:val="20"/>
                <w:lang w:eastAsia="el-GR"/>
              </w:rPr>
              <w:t>(</w:t>
            </w:r>
            <w:r>
              <w:rPr>
                <w:rFonts w:eastAsia="Times New Roman"/>
                <w:bCs w:val="0"/>
                <w:color w:val="000000"/>
                <w:sz w:val="20"/>
                <w:szCs w:val="20"/>
                <w:lang w:eastAsia="el-GR"/>
              </w:rPr>
              <w:t>2</w:t>
            </w:r>
            <w:r w:rsidRPr="004E6049">
              <w:rPr>
                <w:rFonts w:eastAsia="Times New Roman"/>
                <w:bCs w:val="0"/>
                <w:color w:val="000000"/>
                <w:sz w:val="20"/>
                <w:szCs w:val="20"/>
                <w:lang w:eastAsia="el-GR"/>
              </w:rPr>
              <w:t>)</w:t>
            </w:r>
          </w:p>
        </w:tc>
        <w:tc>
          <w:tcPr>
            <w:tcW w:w="1275" w:type="dxa"/>
            <w:noWrap/>
            <w:hideMark/>
          </w:tcPr>
          <w:p w:rsidR="00AC5F6E"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ΣΤΟΧΟΣ</w:t>
            </w:r>
            <w:r w:rsidRPr="004E6049">
              <w:rPr>
                <w:rFonts w:eastAsia="Times New Roman"/>
                <w:bCs w:val="0"/>
                <w:color w:val="000000"/>
                <w:sz w:val="20"/>
                <w:szCs w:val="20"/>
                <w:lang w:eastAsia="el-GR"/>
              </w:rPr>
              <w:t xml:space="preserve"> </w:t>
            </w:r>
          </w:p>
          <w:p w:rsidR="00EB1CA5" w:rsidRPr="004E6049" w:rsidRDefault="00AC5F6E" w:rsidP="009B13E0">
            <w:pPr>
              <w:spacing w:after="0" w:line="240" w:lineRule="auto"/>
              <w:jc w:val="center"/>
              <w:cnfStyle w:val="100000000000"/>
              <w:rPr>
                <w:rFonts w:eastAsia="Times New Roman"/>
                <w:bCs w:val="0"/>
                <w:color w:val="000000"/>
                <w:sz w:val="20"/>
                <w:szCs w:val="20"/>
                <w:lang w:eastAsia="el-GR"/>
              </w:rPr>
            </w:pPr>
            <w:r w:rsidRPr="00AC5F6E">
              <w:rPr>
                <w:rFonts w:eastAsia="Times New Roman"/>
                <w:bCs w:val="0"/>
                <w:color w:val="000000"/>
                <w:sz w:val="20"/>
                <w:szCs w:val="20"/>
                <w:lang w:eastAsia="el-GR"/>
              </w:rPr>
              <w:t>1/1-3</w:t>
            </w:r>
            <w:r w:rsidR="00EC272C">
              <w:rPr>
                <w:rFonts w:eastAsia="Times New Roman"/>
                <w:bCs w:val="0"/>
                <w:color w:val="000000"/>
                <w:sz w:val="20"/>
                <w:szCs w:val="20"/>
                <w:lang w:eastAsia="el-GR"/>
              </w:rPr>
              <w:t>0</w:t>
            </w:r>
            <w:r w:rsidRPr="00AC5F6E">
              <w:rPr>
                <w:rFonts w:eastAsia="Times New Roman"/>
                <w:bCs w:val="0"/>
                <w:color w:val="000000"/>
                <w:sz w:val="20"/>
                <w:szCs w:val="20"/>
                <w:lang w:eastAsia="el-GR"/>
              </w:rPr>
              <w:t>/</w:t>
            </w:r>
            <w:r w:rsidR="00EC272C">
              <w:rPr>
                <w:rFonts w:eastAsia="Times New Roman"/>
                <w:bCs w:val="0"/>
                <w:color w:val="000000"/>
                <w:sz w:val="20"/>
                <w:szCs w:val="20"/>
                <w:lang w:eastAsia="el-GR"/>
              </w:rPr>
              <w:t>6</w:t>
            </w:r>
            <w:r w:rsidRPr="00AC5F6E">
              <w:rPr>
                <w:rFonts w:eastAsia="Times New Roman"/>
                <w:bCs w:val="0"/>
                <w:color w:val="000000"/>
                <w:sz w:val="20"/>
                <w:szCs w:val="20"/>
                <w:lang w:eastAsia="el-GR"/>
              </w:rPr>
              <w:t>15</w:t>
            </w:r>
          </w:p>
          <w:p w:rsidR="00EB1CA5" w:rsidRPr="004E6049" w:rsidRDefault="00EB1CA5" w:rsidP="009B13E0">
            <w:pPr>
              <w:spacing w:after="0" w:line="240" w:lineRule="auto"/>
              <w:jc w:val="center"/>
              <w:cnfStyle w:val="100000000000"/>
              <w:rPr>
                <w:rFonts w:eastAsia="Times New Roman"/>
                <w:bCs w:val="0"/>
                <w:color w:val="000000"/>
                <w:sz w:val="20"/>
                <w:szCs w:val="20"/>
                <w:lang w:eastAsia="el-GR"/>
              </w:rPr>
            </w:pPr>
            <w:r w:rsidRPr="004E6049">
              <w:rPr>
                <w:rFonts w:eastAsia="Times New Roman"/>
                <w:bCs w:val="0"/>
                <w:color w:val="000000"/>
                <w:sz w:val="20"/>
                <w:szCs w:val="20"/>
                <w:lang w:eastAsia="el-GR"/>
              </w:rPr>
              <w:t>(3)</w:t>
            </w:r>
          </w:p>
        </w:tc>
        <w:tc>
          <w:tcPr>
            <w:tcW w:w="1107" w:type="dxa"/>
          </w:tcPr>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ΑΠΌΚΛΙΣΗ</w:t>
            </w:r>
          </w:p>
          <w:p w:rsidR="00EB1CA5" w:rsidRPr="00801FDF" w:rsidRDefault="00EB1CA5" w:rsidP="00EB1CA5">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 xml:space="preserve">(2) - </w:t>
            </w:r>
            <w:r w:rsidRPr="00801FDF">
              <w:rPr>
                <w:rFonts w:eastAsia="Times New Roman"/>
                <w:bCs w:val="0"/>
                <w:color w:val="000000"/>
                <w:sz w:val="20"/>
                <w:szCs w:val="20"/>
                <w:lang w:eastAsia="el-GR"/>
              </w:rPr>
              <w:t xml:space="preserve"> (</w:t>
            </w:r>
            <w:r>
              <w:rPr>
                <w:rFonts w:eastAsia="Times New Roman"/>
                <w:bCs w:val="0"/>
                <w:color w:val="000000"/>
                <w:sz w:val="20"/>
                <w:szCs w:val="20"/>
                <w:lang w:eastAsia="el-GR"/>
              </w:rPr>
              <w:t>3</w:t>
            </w:r>
            <w:r w:rsidRPr="00801FDF">
              <w:rPr>
                <w:rFonts w:eastAsia="Times New Roman"/>
                <w:bCs w:val="0"/>
                <w:color w:val="000000"/>
                <w:sz w:val="20"/>
                <w:szCs w:val="20"/>
                <w:lang w:eastAsia="el-GR"/>
              </w:rPr>
              <w:t>)</w:t>
            </w:r>
          </w:p>
        </w:tc>
        <w:tc>
          <w:tcPr>
            <w:tcW w:w="1101" w:type="dxa"/>
            <w:noWrap/>
            <w:hideMark/>
          </w:tcPr>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ΑΠΌΚΛΙΣΗ</w:t>
            </w:r>
          </w:p>
          <w:p w:rsidR="00EB1CA5" w:rsidRDefault="00EB1CA5" w:rsidP="009B13E0">
            <w:pPr>
              <w:spacing w:after="0" w:line="240" w:lineRule="auto"/>
              <w:jc w:val="center"/>
              <w:cnfStyle w:val="100000000000"/>
              <w:rPr>
                <w:rFonts w:eastAsia="Times New Roman"/>
                <w:bCs w:val="0"/>
                <w:color w:val="000000"/>
                <w:sz w:val="20"/>
                <w:szCs w:val="20"/>
                <w:lang w:eastAsia="el-GR"/>
              </w:rPr>
            </w:pPr>
            <w:r w:rsidRPr="00801FDF">
              <w:rPr>
                <w:rFonts w:eastAsia="Times New Roman"/>
                <w:bCs w:val="0"/>
                <w:color w:val="000000"/>
                <w:sz w:val="20"/>
                <w:szCs w:val="20"/>
                <w:lang w:eastAsia="el-GR"/>
              </w:rPr>
              <w:t>(3) – (1)</w:t>
            </w:r>
          </w:p>
          <w:p w:rsidR="00EB1CA5" w:rsidRPr="00801FDF" w:rsidRDefault="00EB1CA5" w:rsidP="009B13E0">
            <w:pPr>
              <w:spacing w:after="0" w:line="240" w:lineRule="auto"/>
              <w:jc w:val="center"/>
              <w:cnfStyle w:val="100000000000"/>
              <w:rPr>
                <w:rFonts w:eastAsia="Times New Roman"/>
                <w:bCs w:val="0"/>
                <w:color w:val="000000"/>
                <w:sz w:val="20"/>
                <w:szCs w:val="20"/>
                <w:lang w:eastAsia="el-GR"/>
              </w:rPr>
            </w:pPr>
            <w:r>
              <w:rPr>
                <w:rFonts w:eastAsia="Times New Roman"/>
                <w:bCs w:val="0"/>
                <w:color w:val="000000"/>
                <w:sz w:val="20"/>
                <w:szCs w:val="20"/>
                <w:lang w:eastAsia="el-GR"/>
              </w:rPr>
              <w:t>%</w:t>
            </w:r>
          </w:p>
        </w:tc>
      </w:tr>
      <w:tr w:rsidR="00DC0C88" w:rsidRPr="00746915" w:rsidTr="006D6B30">
        <w:trPr>
          <w:cnfStyle w:val="000000100000"/>
          <w:trHeight w:val="340"/>
        </w:trPr>
        <w:tc>
          <w:tcPr>
            <w:cnfStyle w:val="001000000000"/>
            <w:tcW w:w="2376" w:type="dxa"/>
            <w:hideMark/>
          </w:tcPr>
          <w:p w:rsidR="00DC0C88" w:rsidRPr="00801FDF" w:rsidRDefault="00DC0C88"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 xml:space="preserve">ΙΔΙΑ ΕΣΟΔΑ: </w:t>
            </w:r>
          </w:p>
        </w:tc>
        <w:tc>
          <w:tcPr>
            <w:tcW w:w="1280" w:type="dxa"/>
            <w:noWrap/>
            <w:hideMark/>
          </w:tcPr>
          <w:p w:rsidR="00DC0C88" w:rsidRPr="00746915" w:rsidRDefault="00DC0C88" w:rsidP="00A36E5E">
            <w:pPr>
              <w:spacing w:after="0" w:line="240" w:lineRule="auto"/>
              <w:jc w:val="right"/>
              <w:cnfStyle w:val="000000100000"/>
              <w:rPr>
                <w:rFonts w:eastAsia="Times New Roman"/>
                <w:bCs/>
                <w:color w:val="000000"/>
                <w:sz w:val="20"/>
                <w:szCs w:val="20"/>
                <w:lang w:eastAsia="el-GR"/>
              </w:rPr>
            </w:pPr>
            <w:r w:rsidRPr="00EB1CA5">
              <w:rPr>
                <w:rFonts w:eastAsia="Times New Roman"/>
                <w:bCs/>
                <w:color w:val="000000"/>
                <w:sz w:val="20"/>
                <w:szCs w:val="20"/>
                <w:lang w:eastAsia="el-GR"/>
              </w:rPr>
              <w:t>11.831.760</w:t>
            </w:r>
          </w:p>
        </w:tc>
        <w:tc>
          <w:tcPr>
            <w:tcW w:w="1298" w:type="dxa"/>
            <w:noWrap/>
            <w:hideMark/>
          </w:tcPr>
          <w:p w:rsidR="00DC0C88" w:rsidRPr="00DC0C88" w:rsidRDefault="00DC0C88" w:rsidP="006D6B30">
            <w:pPr>
              <w:spacing w:after="0"/>
              <w:jc w:val="right"/>
              <w:cnfStyle w:val="000000100000"/>
              <w:rPr>
                <w:color w:val="auto"/>
                <w:sz w:val="20"/>
                <w:szCs w:val="20"/>
              </w:rPr>
            </w:pPr>
            <w:r w:rsidRPr="00DC0C88">
              <w:rPr>
                <w:color w:val="auto"/>
                <w:sz w:val="20"/>
                <w:szCs w:val="20"/>
              </w:rPr>
              <w:t>4.506.222</w:t>
            </w:r>
          </w:p>
        </w:tc>
        <w:tc>
          <w:tcPr>
            <w:tcW w:w="1275" w:type="dxa"/>
            <w:noWrap/>
            <w:hideMark/>
          </w:tcPr>
          <w:p w:rsidR="00DC0C88" w:rsidRPr="00DC0C88" w:rsidRDefault="00DC0C88" w:rsidP="006D6B30">
            <w:pPr>
              <w:spacing w:after="0"/>
              <w:jc w:val="right"/>
              <w:cnfStyle w:val="000000100000"/>
              <w:rPr>
                <w:color w:val="auto"/>
                <w:sz w:val="20"/>
                <w:szCs w:val="20"/>
              </w:rPr>
            </w:pPr>
            <w:r w:rsidRPr="00DC0C88">
              <w:rPr>
                <w:color w:val="auto"/>
                <w:sz w:val="20"/>
                <w:szCs w:val="20"/>
              </w:rPr>
              <w:t>5.232.140</w:t>
            </w:r>
          </w:p>
        </w:tc>
        <w:tc>
          <w:tcPr>
            <w:tcW w:w="1107" w:type="dxa"/>
          </w:tcPr>
          <w:p w:rsidR="00DC0C88" w:rsidRPr="00DC0C88" w:rsidRDefault="00DC0C88" w:rsidP="006D6B30">
            <w:pPr>
              <w:spacing w:after="0"/>
              <w:jc w:val="right"/>
              <w:cnfStyle w:val="000000100000"/>
              <w:rPr>
                <w:color w:val="auto"/>
                <w:sz w:val="20"/>
                <w:szCs w:val="20"/>
              </w:rPr>
            </w:pPr>
            <w:r w:rsidRPr="00DC0C88">
              <w:rPr>
                <w:color w:val="auto"/>
                <w:sz w:val="20"/>
                <w:szCs w:val="20"/>
              </w:rPr>
              <w:t>-725.917</w:t>
            </w:r>
          </w:p>
        </w:tc>
        <w:tc>
          <w:tcPr>
            <w:tcW w:w="1101" w:type="dxa"/>
            <w:noWrap/>
            <w:hideMark/>
          </w:tcPr>
          <w:p w:rsidR="00DC0C88" w:rsidRPr="00DC0C88" w:rsidRDefault="00DC0C88" w:rsidP="006D6B30">
            <w:pPr>
              <w:spacing w:after="0"/>
              <w:jc w:val="right"/>
              <w:cnfStyle w:val="000000100000"/>
              <w:rPr>
                <w:color w:val="auto"/>
                <w:sz w:val="20"/>
                <w:szCs w:val="20"/>
              </w:rPr>
            </w:pPr>
            <w:r w:rsidRPr="00DC0C88">
              <w:rPr>
                <w:color w:val="auto"/>
                <w:sz w:val="20"/>
                <w:szCs w:val="20"/>
              </w:rPr>
              <w:t>-13,87%</w:t>
            </w:r>
          </w:p>
        </w:tc>
      </w:tr>
      <w:tr w:rsidR="0010397F" w:rsidRPr="00746915" w:rsidTr="006D6B30">
        <w:trPr>
          <w:trHeight w:val="340"/>
        </w:trPr>
        <w:tc>
          <w:tcPr>
            <w:cnfStyle w:val="001000000000"/>
            <w:tcW w:w="2376" w:type="dxa"/>
            <w:hideMark/>
          </w:tcPr>
          <w:p w:rsidR="0010397F" w:rsidRPr="00801FDF" w:rsidRDefault="0010397F"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ΑΠΑΙΤΗΣΕΙΣ Π.Ο.Ε.</w:t>
            </w:r>
            <w:r>
              <w:rPr>
                <w:rFonts w:eastAsia="Times New Roman"/>
                <w:b w:val="0"/>
                <w:bCs w:val="0"/>
                <w:color w:val="000000"/>
                <w:sz w:val="20"/>
                <w:szCs w:val="20"/>
                <w:lang w:eastAsia="el-GR"/>
              </w:rPr>
              <w:t>*</w:t>
            </w:r>
          </w:p>
        </w:tc>
        <w:tc>
          <w:tcPr>
            <w:tcW w:w="1280" w:type="dxa"/>
            <w:noWrap/>
            <w:hideMark/>
          </w:tcPr>
          <w:p w:rsidR="0010397F" w:rsidRPr="00746915" w:rsidRDefault="0010397F" w:rsidP="00A36E5E">
            <w:pPr>
              <w:spacing w:after="0" w:line="240" w:lineRule="auto"/>
              <w:jc w:val="right"/>
              <w:cnfStyle w:val="000000000000"/>
              <w:rPr>
                <w:rFonts w:eastAsia="Times New Roman"/>
                <w:bCs/>
                <w:color w:val="000000"/>
                <w:sz w:val="20"/>
                <w:szCs w:val="20"/>
                <w:lang w:eastAsia="el-GR"/>
              </w:rPr>
            </w:pPr>
            <w:r w:rsidRPr="00400AAE">
              <w:rPr>
                <w:rFonts w:eastAsia="Times New Roman"/>
                <w:bCs/>
                <w:color w:val="000000"/>
                <w:sz w:val="20"/>
                <w:szCs w:val="20"/>
                <w:lang w:eastAsia="el-GR"/>
              </w:rPr>
              <w:t>7.547.141</w:t>
            </w:r>
          </w:p>
        </w:tc>
        <w:tc>
          <w:tcPr>
            <w:tcW w:w="1298" w:type="dxa"/>
            <w:noWrap/>
            <w:hideMark/>
          </w:tcPr>
          <w:p w:rsidR="0010397F" w:rsidRPr="0010397F" w:rsidRDefault="0010397F" w:rsidP="006D6B30">
            <w:pPr>
              <w:spacing w:after="0" w:line="240" w:lineRule="auto"/>
              <w:jc w:val="right"/>
              <w:cnfStyle w:val="000000000000"/>
              <w:rPr>
                <w:color w:val="auto"/>
                <w:sz w:val="20"/>
                <w:szCs w:val="20"/>
              </w:rPr>
            </w:pPr>
            <w:r w:rsidRPr="0010397F">
              <w:rPr>
                <w:color w:val="auto"/>
                <w:sz w:val="20"/>
                <w:szCs w:val="20"/>
              </w:rPr>
              <w:t>156.822</w:t>
            </w:r>
          </w:p>
        </w:tc>
        <w:tc>
          <w:tcPr>
            <w:tcW w:w="1275" w:type="dxa"/>
            <w:noWrap/>
            <w:hideMark/>
          </w:tcPr>
          <w:p w:rsidR="0010397F" w:rsidRPr="0010397F" w:rsidRDefault="0010397F" w:rsidP="006D6B30">
            <w:pPr>
              <w:spacing w:after="0" w:line="240" w:lineRule="auto"/>
              <w:jc w:val="right"/>
              <w:cnfStyle w:val="000000000000"/>
              <w:rPr>
                <w:color w:val="auto"/>
                <w:sz w:val="20"/>
                <w:szCs w:val="20"/>
              </w:rPr>
            </w:pPr>
            <w:r w:rsidRPr="0010397F">
              <w:rPr>
                <w:color w:val="auto"/>
                <w:sz w:val="20"/>
                <w:szCs w:val="20"/>
              </w:rPr>
              <w:t>219.062</w:t>
            </w:r>
          </w:p>
        </w:tc>
        <w:tc>
          <w:tcPr>
            <w:tcW w:w="1107" w:type="dxa"/>
          </w:tcPr>
          <w:p w:rsidR="0010397F" w:rsidRPr="0010397F" w:rsidRDefault="0010397F" w:rsidP="006D6B30">
            <w:pPr>
              <w:spacing w:after="0" w:line="240" w:lineRule="auto"/>
              <w:jc w:val="right"/>
              <w:cnfStyle w:val="000000000000"/>
              <w:rPr>
                <w:color w:val="auto"/>
                <w:sz w:val="20"/>
                <w:szCs w:val="20"/>
              </w:rPr>
            </w:pPr>
            <w:r w:rsidRPr="0010397F">
              <w:rPr>
                <w:color w:val="auto"/>
                <w:sz w:val="20"/>
                <w:szCs w:val="20"/>
              </w:rPr>
              <w:t>-62.239</w:t>
            </w:r>
          </w:p>
        </w:tc>
        <w:tc>
          <w:tcPr>
            <w:tcW w:w="1101" w:type="dxa"/>
            <w:noWrap/>
            <w:hideMark/>
          </w:tcPr>
          <w:p w:rsidR="0010397F" w:rsidRPr="0010397F" w:rsidRDefault="0010397F" w:rsidP="006D6B30">
            <w:pPr>
              <w:spacing w:after="0" w:line="240" w:lineRule="auto"/>
              <w:jc w:val="right"/>
              <w:cnfStyle w:val="000000000000"/>
              <w:rPr>
                <w:color w:val="auto"/>
                <w:sz w:val="20"/>
                <w:szCs w:val="20"/>
              </w:rPr>
            </w:pPr>
            <w:r w:rsidRPr="0010397F">
              <w:rPr>
                <w:color w:val="auto"/>
                <w:sz w:val="20"/>
                <w:szCs w:val="20"/>
              </w:rPr>
              <w:t>-28,41%</w:t>
            </w:r>
          </w:p>
        </w:tc>
      </w:tr>
      <w:tr w:rsidR="00B87737" w:rsidRPr="00746915" w:rsidTr="006D6B30">
        <w:trPr>
          <w:cnfStyle w:val="000000100000"/>
          <w:trHeight w:val="340"/>
        </w:trPr>
        <w:tc>
          <w:tcPr>
            <w:cnfStyle w:val="001000000000"/>
            <w:tcW w:w="2376" w:type="dxa"/>
            <w:hideMark/>
          </w:tcPr>
          <w:p w:rsidR="00B87737" w:rsidRPr="00801FDF" w:rsidRDefault="00B87737"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ΕΣΟΔΑ ΑΠΟ Κ.Α.Π.</w:t>
            </w:r>
          </w:p>
        </w:tc>
        <w:tc>
          <w:tcPr>
            <w:tcW w:w="1280" w:type="dxa"/>
            <w:noWrap/>
            <w:hideMark/>
          </w:tcPr>
          <w:p w:rsidR="00B87737" w:rsidRPr="00746915" w:rsidRDefault="00B87737" w:rsidP="00A36E5E">
            <w:pPr>
              <w:spacing w:after="0" w:line="240" w:lineRule="auto"/>
              <w:jc w:val="right"/>
              <w:cnfStyle w:val="000000100000"/>
              <w:rPr>
                <w:rFonts w:eastAsia="Times New Roman"/>
                <w:bCs/>
                <w:color w:val="000000"/>
                <w:sz w:val="20"/>
                <w:szCs w:val="20"/>
                <w:lang w:eastAsia="el-GR"/>
              </w:rPr>
            </w:pPr>
            <w:r w:rsidRPr="00D21AC9">
              <w:rPr>
                <w:rFonts w:eastAsia="Times New Roman"/>
                <w:bCs/>
                <w:color w:val="000000"/>
                <w:sz w:val="20"/>
                <w:szCs w:val="20"/>
                <w:lang w:eastAsia="el-GR"/>
              </w:rPr>
              <w:t>8.037.651</w:t>
            </w:r>
          </w:p>
        </w:tc>
        <w:tc>
          <w:tcPr>
            <w:tcW w:w="1298" w:type="dxa"/>
            <w:noWrap/>
            <w:hideMark/>
          </w:tcPr>
          <w:p w:rsidR="00B87737" w:rsidRPr="00B87737" w:rsidRDefault="00B87737" w:rsidP="006D6B30">
            <w:pPr>
              <w:spacing w:after="0" w:line="240" w:lineRule="auto"/>
              <w:jc w:val="right"/>
              <w:cnfStyle w:val="000000100000"/>
              <w:rPr>
                <w:color w:val="auto"/>
                <w:sz w:val="20"/>
                <w:szCs w:val="20"/>
              </w:rPr>
            </w:pPr>
            <w:r w:rsidRPr="00B87737">
              <w:rPr>
                <w:color w:val="auto"/>
                <w:sz w:val="20"/>
                <w:szCs w:val="20"/>
              </w:rPr>
              <w:t>3.494.781</w:t>
            </w:r>
          </w:p>
        </w:tc>
        <w:tc>
          <w:tcPr>
            <w:tcW w:w="1275" w:type="dxa"/>
            <w:noWrap/>
            <w:hideMark/>
          </w:tcPr>
          <w:p w:rsidR="00B87737" w:rsidRPr="00B87737" w:rsidRDefault="00B87737" w:rsidP="006D6B30">
            <w:pPr>
              <w:spacing w:after="0" w:line="240" w:lineRule="auto"/>
              <w:jc w:val="right"/>
              <w:cnfStyle w:val="000000100000"/>
              <w:rPr>
                <w:color w:val="auto"/>
                <w:sz w:val="20"/>
                <w:szCs w:val="20"/>
              </w:rPr>
            </w:pPr>
            <w:r w:rsidRPr="00B87737">
              <w:rPr>
                <w:color w:val="auto"/>
                <w:sz w:val="20"/>
                <w:szCs w:val="20"/>
              </w:rPr>
              <w:t>3.952.150</w:t>
            </w:r>
          </w:p>
        </w:tc>
        <w:tc>
          <w:tcPr>
            <w:tcW w:w="1107" w:type="dxa"/>
          </w:tcPr>
          <w:p w:rsidR="00B87737" w:rsidRPr="00B87737" w:rsidRDefault="00B87737" w:rsidP="006D6B30">
            <w:pPr>
              <w:spacing w:after="0" w:line="240" w:lineRule="auto"/>
              <w:jc w:val="right"/>
              <w:cnfStyle w:val="000000100000"/>
              <w:rPr>
                <w:color w:val="auto"/>
                <w:sz w:val="20"/>
                <w:szCs w:val="20"/>
              </w:rPr>
            </w:pPr>
            <w:r w:rsidRPr="00B87737">
              <w:rPr>
                <w:color w:val="auto"/>
                <w:sz w:val="20"/>
                <w:szCs w:val="20"/>
              </w:rPr>
              <w:t>-457.368</w:t>
            </w:r>
          </w:p>
        </w:tc>
        <w:tc>
          <w:tcPr>
            <w:tcW w:w="1101" w:type="dxa"/>
            <w:noWrap/>
            <w:hideMark/>
          </w:tcPr>
          <w:p w:rsidR="00B87737" w:rsidRPr="00B87737" w:rsidRDefault="00B87737" w:rsidP="006D6B30">
            <w:pPr>
              <w:spacing w:after="0" w:line="240" w:lineRule="auto"/>
              <w:jc w:val="right"/>
              <w:cnfStyle w:val="000000100000"/>
              <w:rPr>
                <w:color w:val="auto"/>
                <w:sz w:val="20"/>
                <w:szCs w:val="20"/>
              </w:rPr>
            </w:pPr>
            <w:r w:rsidRPr="00B87737">
              <w:rPr>
                <w:color w:val="auto"/>
                <w:sz w:val="20"/>
                <w:szCs w:val="20"/>
              </w:rPr>
              <w:t>-11,57%</w:t>
            </w:r>
          </w:p>
        </w:tc>
      </w:tr>
      <w:tr w:rsidR="006D6B30" w:rsidRPr="00746915" w:rsidTr="006D6B30">
        <w:trPr>
          <w:trHeight w:val="340"/>
        </w:trPr>
        <w:tc>
          <w:tcPr>
            <w:cnfStyle w:val="001000000000"/>
            <w:tcW w:w="2376" w:type="dxa"/>
            <w:hideMark/>
          </w:tcPr>
          <w:p w:rsidR="006D6B30" w:rsidRPr="00801FDF" w:rsidRDefault="006D6B30"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ΠΡΟΝΟΙΑΚΑ ΕΠΙΔΟΜΑΤΑ</w:t>
            </w:r>
          </w:p>
        </w:tc>
        <w:tc>
          <w:tcPr>
            <w:tcW w:w="1280" w:type="dxa"/>
            <w:noWrap/>
            <w:hideMark/>
          </w:tcPr>
          <w:p w:rsidR="006D6B30" w:rsidRPr="00746915" w:rsidRDefault="006D6B30" w:rsidP="00A36E5E">
            <w:pPr>
              <w:spacing w:after="0" w:line="240" w:lineRule="auto"/>
              <w:jc w:val="right"/>
              <w:cnfStyle w:val="000000000000"/>
              <w:rPr>
                <w:rFonts w:eastAsia="Times New Roman"/>
                <w:bCs/>
                <w:color w:val="000000"/>
                <w:sz w:val="20"/>
                <w:szCs w:val="20"/>
                <w:lang w:eastAsia="el-GR"/>
              </w:rPr>
            </w:pPr>
            <w:r w:rsidRPr="00F31A70">
              <w:rPr>
                <w:rFonts w:eastAsia="Times New Roman"/>
                <w:bCs/>
                <w:color w:val="000000"/>
                <w:sz w:val="20"/>
                <w:szCs w:val="20"/>
                <w:lang w:eastAsia="el-GR"/>
              </w:rPr>
              <w:t>28.746.267</w:t>
            </w:r>
          </w:p>
        </w:tc>
        <w:tc>
          <w:tcPr>
            <w:tcW w:w="1298" w:type="dxa"/>
            <w:noWrap/>
            <w:hideMark/>
          </w:tcPr>
          <w:p w:rsidR="006D6B30" w:rsidRPr="006D6B30" w:rsidRDefault="006D6B30" w:rsidP="006D6B30">
            <w:pPr>
              <w:spacing w:after="0" w:line="240" w:lineRule="auto"/>
              <w:jc w:val="right"/>
              <w:cnfStyle w:val="000000000000"/>
              <w:rPr>
                <w:color w:val="auto"/>
                <w:sz w:val="20"/>
                <w:szCs w:val="20"/>
              </w:rPr>
            </w:pPr>
            <w:r w:rsidRPr="006D6B30">
              <w:rPr>
                <w:color w:val="auto"/>
                <w:sz w:val="20"/>
                <w:szCs w:val="20"/>
              </w:rPr>
              <w:t>14.500.638</w:t>
            </w:r>
          </w:p>
        </w:tc>
        <w:tc>
          <w:tcPr>
            <w:tcW w:w="1275" w:type="dxa"/>
            <w:noWrap/>
            <w:hideMark/>
          </w:tcPr>
          <w:p w:rsidR="006D6B30" w:rsidRPr="006D6B30" w:rsidRDefault="006D6B30" w:rsidP="006D6B30">
            <w:pPr>
              <w:spacing w:after="0" w:line="240" w:lineRule="auto"/>
              <w:jc w:val="right"/>
              <w:cnfStyle w:val="000000000000"/>
              <w:rPr>
                <w:color w:val="auto"/>
                <w:sz w:val="20"/>
                <w:szCs w:val="20"/>
              </w:rPr>
            </w:pPr>
            <w:r w:rsidRPr="006D6B30">
              <w:rPr>
                <w:color w:val="auto"/>
                <w:sz w:val="20"/>
                <w:szCs w:val="20"/>
              </w:rPr>
              <w:t>14.373.000</w:t>
            </w:r>
          </w:p>
        </w:tc>
        <w:tc>
          <w:tcPr>
            <w:tcW w:w="1107" w:type="dxa"/>
          </w:tcPr>
          <w:p w:rsidR="006D6B30" w:rsidRPr="006D6B30" w:rsidRDefault="006D6B30" w:rsidP="006D6B30">
            <w:pPr>
              <w:spacing w:after="0" w:line="240" w:lineRule="auto"/>
              <w:jc w:val="right"/>
              <w:cnfStyle w:val="000000000000"/>
              <w:rPr>
                <w:color w:val="auto"/>
                <w:sz w:val="20"/>
                <w:szCs w:val="20"/>
              </w:rPr>
            </w:pPr>
            <w:r w:rsidRPr="006D6B30">
              <w:rPr>
                <w:color w:val="auto"/>
                <w:sz w:val="20"/>
                <w:szCs w:val="20"/>
              </w:rPr>
              <w:t>127.638</w:t>
            </w:r>
          </w:p>
        </w:tc>
        <w:tc>
          <w:tcPr>
            <w:tcW w:w="1101" w:type="dxa"/>
            <w:noWrap/>
            <w:hideMark/>
          </w:tcPr>
          <w:p w:rsidR="006D6B30" w:rsidRPr="006D6B30" w:rsidRDefault="006D6B30" w:rsidP="006D6B30">
            <w:pPr>
              <w:spacing w:after="0" w:line="240" w:lineRule="auto"/>
              <w:jc w:val="right"/>
              <w:cnfStyle w:val="000000000000"/>
              <w:rPr>
                <w:color w:val="auto"/>
                <w:sz w:val="20"/>
                <w:szCs w:val="20"/>
              </w:rPr>
            </w:pPr>
            <w:r w:rsidRPr="006D6B30">
              <w:rPr>
                <w:color w:val="auto"/>
                <w:sz w:val="20"/>
                <w:szCs w:val="20"/>
              </w:rPr>
              <w:t>0,89%</w:t>
            </w:r>
          </w:p>
        </w:tc>
      </w:tr>
      <w:tr w:rsidR="00FD7C1A" w:rsidRPr="00746915" w:rsidTr="00AC5F6E">
        <w:trPr>
          <w:cnfStyle w:val="000000100000"/>
          <w:trHeight w:val="315"/>
        </w:trPr>
        <w:tc>
          <w:tcPr>
            <w:cnfStyle w:val="001000000000"/>
            <w:tcW w:w="2376" w:type="dxa"/>
            <w:hideMark/>
          </w:tcPr>
          <w:p w:rsidR="00FD7C1A" w:rsidRPr="00801FDF" w:rsidRDefault="00FD7C1A"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ΕΚΤΑΚΤΕΣ ΕΠΙΧΟΡΗΓΗΣΕΙΣ ΓΙΑ ΚΑΛΥΨΗ ΛΕΙΤΟΥΡΓΙΚΩΝ ΔΑΠΑΝΩΝ</w:t>
            </w:r>
          </w:p>
        </w:tc>
        <w:tc>
          <w:tcPr>
            <w:tcW w:w="1280" w:type="dxa"/>
            <w:noWrap/>
            <w:hideMark/>
          </w:tcPr>
          <w:p w:rsidR="00FD7C1A" w:rsidRPr="00746915" w:rsidRDefault="00FD7C1A" w:rsidP="00C25C14">
            <w:pPr>
              <w:spacing w:after="0" w:line="240" w:lineRule="auto"/>
              <w:jc w:val="right"/>
              <w:cnfStyle w:val="000000100000"/>
              <w:rPr>
                <w:rFonts w:eastAsia="Times New Roman"/>
                <w:bCs/>
                <w:color w:val="000000"/>
                <w:sz w:val="20"/>
                <w:szCs w:val="20"/>
                <w:lang w:eastAsia="el-GR"/>
              </w:rPr>
            </w:pPr>
            <w:r w:rsidRPr="00C25C14">
              <w:rPr>
                <w:rFonts w:eastAsia="Times New Roman"/>
                <w:bCs/>
                <w:color w:val="000000"/>
                <w:sz w:val="20"/>
                <w:szCs w:val="20"/>
                <w:lang w:eastAsia="el-GR"/>
              </w:rPr>
              <w:t>237.240</w:t>
            </w:r>
          </w:p>
        </w:tc>
        <w:tc>
          <w:tcPr>
            <w:tcW w:w="1298" w:type="dxa"/>
            <w:noWrap/>
            <w:hideMark/>
          </w:tcPr>
          <w:p w:rsidR="00FD7C1A" w:rsidRPr="00FD7C1A" w:rsidRDefault="00FD7C1A" w:rsidP="00FD7C1A">
            <w:pPr>
              <w:jc w:val="right"/>
              <w:cnfStyle w:val="000000100000"/>
              <w:rPr>
                <w:color w:val="auto"/>
                <w:sz w:val="20"/>
                <w:szCs w:val="20"/>
              </w:rPr>
            </w:pPr>
            <w:r w:rsidRPr="00FD7C1A">
              <w:rPr>
                <w:color w:val="auto"/>
                <w:sz w:val="20"/>
                <w:szCs w:val="20"/>
              </w:rPr>
              <w:t>103.485</w:t>
            </w:r>
          </w:p>
        </w:tc>
        <w:tc>
          <w:tcPr>
            <w:tcW w:w="1275" w:type="dxa"/>
            <w:noWrap/>
            <w:hideMark/>
          </w:tcPr>
          <w:p w:rsidR="00FD7C1A" w:rsidRPr="00FD7C1A" w:rsidRDefault="00FD7C1A" w:rsidP="00FD7C1A">
            <w:pPr>
              <w:jc w:val="right"/>
              <w:cnfStyle w:val="000000100000"/>
              <w:rPr>
                <w:color w:val="auto"/>
                <w:sz w:val="20"/>
                <w:szCs w:val="20"/>
              </w:rPr>
            </w:pPr>
            <w:r w:rsidRPr="00FD7C1A">
              <w:rPr>
                <w:color w:val="auto"/>
                <w:sz w:val="20"/>
                <w:szCs w:val="20"/>
              </w:rPr>
              <w:t>0</w:t>
            </w:r>
          </w:p>
        </w:tc>
        <w:tc>
          <w:tcPr>
            <w:tcW w:w="1107" w:type="dxa"/>
          </w:tcPr>
          <w:p w:rsidR="00FD7C1A" w:rsidRPr="00FD7C1A" w:rsidRDefault="00FD7C1A" w:rsidP="00FD7C1A">
            <w:pPr>
              <w:jc w:val="right"/>
              <w:cnfStyle w:val="000000100000"/>
              <w:rPr>
                <w:color w:val="auto"/>
                <w:sz w:val="20"/>
                <w:szCs w:val="20"/>
              </w:rPr>
            </w:pPr>
            <w:r w:rsidRPr="00FD7C1A">
              <w:rPr>
                <w:color w:val="auto"/>
                <w:sz w:val="20"/>
                <w:szCs w:val="20"/>
              </w:rPr>
              <w:t>103.485</w:t>
            </w:r>
          </w:p>
        </w:tc>
        <w:tc>
          <w:tcPr>
            <w:tcW w:w="1101" w:type="dxa"/>
            <w:noWrap/>
            <w:hideMark/>
          </w:tcPr>
          <w:p w:rsidR="00FD7C1A" w:rsidRPr="00FD7C1A" w:rsidRDefault="00FD7C1A" w:rsidP="00FD7C1A">
            <w:pPr>
              <w:jc w:val="right"/>
              <w:cnfStyle w:val="000000100000"/>
              <w:rPr>
                <w:color w:val="auto"/>
                <w:sz w:val="20"/>
                <w:szCs w:val="20"/>
              </w:rPr>
            </w:pPr>
            <w:r w:rsidRPr="00FD7C1A">
              <w:rPr>
                <w:color w:val="auto"/>
                <w:sz w:val="20"/>
                <w:szCs w:val="20"/>
              </w:rPr>
              <w:t>0,00%</w:t>
            </w:r>
          </w:p>
        </w:tc>
      </w:tr>
      <w:tr w:rsidR="00FD7C1A" w:rsidRPr="00746915" w:rsidTr="00AC5F6E">
        <w:trPr>
          <w:trHeight w:val="315"/>
        </w:trPr>
        <w:tc>
          <w:tcPr>
            <w:cnfStyle w:val="001000000000"/>
            <w:tcW w:w="2376" w:type="dxa"/>
            <w:hideMark/>
          </w:tcPr>
          <w:p w:rsidR="00FD7C1A" w:rsidRPr="00801FDF" w:rsidRDefault="00FD7C1A"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ΕΠΙΧΟΡΗΓΗΣΕΙΣ ΓΙΑ ΕΠΕΝΔΥΣΕΙΣ</w:t>
            </w:r>
          </w:p>
        </w:tc>
        <w:tc>
          <w:tcPr>
            <w:tcW w:w="1280" w:type="dxa"/>
            <w:noWrap/>
            <w:hideMark/>
          </w:tcPr>
          <w:p w:rsidR="00FD7C1A" w:rsidRPr="00746915" w:rsidRDefault="00FD7C1A" w:rsidP="0057153C">
            <w:pPr>
              <w:spacing w:after="0" w:line="240" w:lineRule="auto"/>
              <w:jc w:val="right"/>
              <w:cnfStyle w:val="000000000000"/>
              <w:rPr>
                <w:rFonts w:eastAsia="Times New Roman"/>
                <w:bCs/>
                <w:color w:val="000000"/>
                <w:sz w:val="20"/>
                <w:szCs w:val="20"/>
                <w:lang w:eastAsia="el-GR"/>
              </w:rPr>
            </w:pPr>
            <w:r w:rsidRPr="00400AAE">
              <w:rPr>
                <w:rFonts w:eastAsia="Times New Roman"/>
                <w:bCs/>
                <w:color w:val="000000"/>
                <w:sz w:val="20"/>
                <w:szCs w:val="20"/>
                <w:lang w:eastAsia="el-GR"/>
              </w:rPr>
              <w:t>3.058.904</w:t>
            </w:r>
          </w:p>
        </w:tc>
        <w:tc>
          <w:tcPr>
            <w:tcW w:w="1298" w:type="dxa"/>
            <w:noWrap/>
            <w:hideMark/>
          </w:tcPr>
          <w:p w:rsidR="00FD7C1A" w:rsidRPr="00FD7C1A" w:rsidRDefault="00FD7C1A" w:rsidP="00FD7C1A">
            <w:pPr>
              <w:jc w:val="right"/>
              <w:cnfStyle w:val="000000000000"/>
              <w:rPr>
                <w:color w:val="auto"/>
                <w:sz w:val="20"/>
                <w:szCs w:val="20"/>
              </w:rPr>
            </w:pPr>
            <w:r w:rsidRPr="00FD7C1A">
              <w:rPr>
                <w:color w:val="auto"/>
                <w:sz w:val="20"/>
                <w:szCs w:val="20"/>
              </w:rPr>
              <w:t>539.981</w:t>
            </w:r>
          </w:p>
        </w:tc>
        <w:tc>
          <w:tcPr>
            <w:tcW w:w="1275" w:type="dxa"/>
            <w:noWrap/>
            <w:hideMark/>
          </w:tcPr>
          <w:p w:rsidR="00FD7C1A" w:rsidRPr="00FD7C1A" w:rsidRDefault="00FD7C1A" w:rsidP="00FD7C1A">
            <w:pPr>
              <w:jc w:val="right"/>
              <w:cnfStyle w:val="000000000000"/>
              <w:rPr>
                <w:color w:val="auto"/>
                <w:sz w:val="20"/>
                <w:szCs w:val="20"/>
              </w:rPr>
            </w:pPr>
            <w:r w:rsidRPr="00FD7C1A">
              <w:rPr>
                <w:color w:val="auto"/>
                <w:sz w:val="20"/>
                <w:szCs w:val="20"/>
              </w:rPr>
              <w:t>1.393.140</w:t>
            </w:r>
          </w:p>
        </w:tc>
        <w:tc>
          <w:tcPr>
            <w:tcW w:w="1107" w:type="dxa"/>
          </w:tcPr>
          <w:p w:rsidR="00FD7C1A" w:rsidRPr="00FD7C1A" w:rsidRDefault="00FD7C1A" w:rsidP="00FD7C1A">
            <w:pPr>
              <w:jc w:val="right"/>
              <w:cnfStyle w:val="000000000000"/>
              <w:rPr>
                <w:color w:val="auto"/>
                <w:sz w:val="20"/>
                <w:szCs w:val="20"/>
              </w:rPr>
            </w:pPr>
            <w:r w:rsidRPr="00FD7C1A">
              <w:rPr>
                <w:color w:val="auto"/>
                <w:sz w:val="20"/>
                <w:szCs w:val="20"/>
              </w:rPr>
              <w:t>-853.158</w:t>
            </w:r>
          </w:p>
        </w:tc>
        <w:tc>
          <w:tcPr>
            <w:tcW w:w="1101" w:type="dxa"/>
            <w:noWrap/>
            <w:hideMark/>
          </w:tcPr>
          <w:p w:rsidR="00FD7C1A" w:rsidRPr="00FD7C1A" w:rsidRDefault="00FD7C1A" w:rsidP="00FD7C1A">
            <w:pPr>
              <w:jc w:val="right"/>
              <w:cnfStyle w:val="000000000000"/>
              <w:rPr>
                <w:color w:val="auto"/>
                <w:sz w:val="20"/>
                <w:szCs w:val="20"/>
              </w:rPr>
            </w:pPr>
            <w:r w:rsidRPr="00FD7C1A">
              <w:rPr>
                <w:color w:val="auto"/>
                <w:sz w:val="20"/>
                <w:szCs w:val="20"/>
              </w:rPr>
              <w:t>-61,24%</w:t>
            </w:r>
          </w:p>
        </w:tc>
      </w:tr>
      <w:tr w:rsidR="00FD7C1A" w:rsidRPr="00746915" w:rsidTr="00AC5F6E">
        <w:trPr>
          <w:cnfStyle w:val="000000100000"/>
          <w:trHeight w:val="315"/>
        </w:trPr>
        <w:tc>
          <w:tcPr>
            <w:cnfStyle w:val="001000000000"/>
            <w:tcW w:w="2376" w:type="dxa"/>
            <w:hideMark/>
          </w:tcPr>
          <w:p w:rsidR="00FD7C1A" w:rsidRPr="00801FDF" w:rsidRDefault="00FD7C1A"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ΕΙΣΠΡΑΞΕΙΣ ΥΠΕΡ ΤΟΥ ΔΗΜΟΣΙΟΥ ΚΑΙ ΤΡΙΤΩΝ</w:t>
            </w:r>
          </w:p>
        </w:tc>
        <w:tc>
          <w:tcPr>
            <w:tcW w:w="1280" w:type="dxa"/>
            <w:noWrap/>
            <w:hideMark/>
          </w:tcPr>
          <w:p w:rsidR="00FD7C1A" w:rsidRPr="00400AAE" w:rsidRDefault="00FD7C1A" w:rsidP="00FD7C1A">
            <w:pPr>
              <w:spacing w:after="0" w:line="240" w:lineRule="auto"/>
              <w:jc w:val="right"/>
              <w:cnfStyle w:val="000000100000"/>
              <w:rPr>
                <w:rFonts w:eastAsia="Times New Roman"/>
                <w:bCs/>
                <w:color w:val="000000"/>
                <w:sz w:val="20"/>
                <w:szCs w:val="20"/>
                <w:lang w:eastAsia="el-GR"/>
              </w:rPr>
            </w:pPr>
            <w:r w:rsidRPr="00400AAE">
              <w:rPr>
                <w:rFonts w:eastAsia="Times New Roman"/>
                <w:bCs/>
                <w:color w:val="000000"/>
                <w:sz w:val="20"/>
                <w:szCs w:val="20"/>
                <w:lang w:eastAsia="el-GR"/>
              </w:rPr>
              <w:t>3.41</w:t>
            </w:r>
            <w:r>
              <w:rPr>
                <w:rFonts w:eastAsia="Times New Roman"/>
                <w:bCs/>
                <w:color w:val="000000"/>
                <w:sz w:val="20"/>
                <w:szCs w:val="20"/>
                <w:lang w:eastAsia="el-GR"/>
              </w:rPr>
              <w:t>7</w:t>
            </w:r>
            <w:r w:rsidRPr="00400AAE">
              <w:rPr>
                <w:rFonts w:eastAsia="Times New Roman"/>
                <w:bCs/>
                <w:color w:val="000000"/>
                <w:sz w:val="20"/>
                <w:szCs w:val="20"/>
                <w:lang w:eastAsia="el-GR"/>
              </w:rPr>
              <w:t>.000</w:t>
            </w:r>
          </w:p>
        </w:tc>
        <w:tc>
          <w:tcPr>
            <w:tcW w:w="1298" w:type="dxa"/>
            <w:noWrap/>
            <w:hideMark/>
          </w:tcPr>
          <w:p w:rsidR="00FD7C1A" w:rsidRPr="00FD7C1A" w:rsidRDefault="00FD7C1A" w:rsidP="00FD7C1A">
            <w:pPr>
              <w:jc w:val="right"/>
              <w:cnfStyle w:val="000000100000"/>
              <w:rPr>
                <w:color w:val="auto"/>
                <w:sz w:val="20"/>
                <w:szCs w:val="20"/>
              </w:rPr>
            </w:pPr>
            <w:r w:rsidRPr="00FD7C1A">
              <w:rPr>
                <w:color w:val="auto"/>
                <w:sz w:val="20"/>
                <w:szCs w:val="20"/>
              </w:rPr>
              <w:t>1.240.876</w:t>
            </w:r>
          </w:p>
        </w:tc>
        <w:tc>
          <w:tcPr>
            <w:tcW w:w="1275" w:type="dxa"/>
            <w:noWrap/>
            <w:hideMark/>
          </w:tcPr>
          <w:p w:rsidR="00FD7C1A" w:rsidRPr="00FD7C1A" w:rsidRDefault="00FD7C1A" w:rsidP="00FD7C1A">
            <w:pPr>
              <w:jc w:val="right"/>
              <w:cnfStyle w:val="000000100000"/>
              <w:rPr>
                <w:color w:val="auto"/>
                <w:sz w:val="20"/>
                <w:szCs w:val="20"/>
              </w:rPr>
            </w:pPr>
            <w:r w:rsidRPr="00FD7C1A">
              <w:rPr>
                <w:color w:val="auto"/>
                <w:sz w:val="20"/>
                <w:szCs w:val="20"/>
              </w:rPr>
              <w:t>1.709.020</w:t>
            </w:r>
          </w:p>
        </w:tc>
        <w:tc>
          <w:tcPr>
            <w:tcW w:w="1107" w:type="dxa"/>
          </w:tcPr>
          <w:p w:rsidR="00FD7C1A" w:rsidRPr="00FD7C1A" w:rsidRDefault="00FD7C1A" w:rsidP="00FD7C1A">
            <w:pPr>
              <w:jc w:val="right"/>
              <w:cnfStyle w:val="000000100000"/>
              <w:rPr>
                <w:color w:val="auto"/>
                <w:sz w:val="20"/>
                <w:szCs w:val="20"/>
              </w:rPr>
            </w:pPr>
            <w:r w:rsidRPr="00FD7C1A">
              <w:rPr>
                <w:color w:val="auto"/>
                <w:sz w:val="20"/>
                <w:szCs w:val="20"/>
              </w:rPr>
              <w:t>-468.143</w:t>
            </w:r>
          </w:p>
        </w:tc>
        <w:tc>
          <w:tcPr>
            <w:tcW w:w="1101" w:type="dxa"/>
            <w:noWrap/>
            <w:hideMark/>
          </w:tcPr>
          <w:p w:rsidR="00FD7C1A" w:rsidRPr="00FD7C1A" w:rsidRDefault="00FD7C1A" w:rsidP="00FD7C1A">
            <w:pPr>
              <w:jc w:val="right"/>
              <w:cnfStyle w:val="000000100000"/>
              <w:rPr>
                <w:color w:val="auto"/>
                <w:sz w:val="20"/>
                <w:szCs w:val="20"/>
              </w:rPr>
            </w:pPr>
            <w:r w:rsidRPr="00FD7C1A">
              <w:rPr>
                <w:color w:val="auto"/>
                <w:sz w:val="20"/>
                <w:szCs w:val="20"/>
              </w:rPr>
              <w:t>-27,39%</w:t>
            </w:r>
          </w:p>
        </w:tc>
      </w:tr>
      <w:tr w:rsidR="000A2B42" w:rsidRPr="00746915" w:rsidTr="00AC5F6E">
        <w:trPr>
          <w:trHeight w:val="315"/>
        </w:trPr>
        <w:tc>
          <w:tcPr>
            <w:cnfStyle w:val="001000000000"/>
            <w:tcW w:w="2376" w:type="dxa"/>
            <w:hideMark/>
          </w:tcPr>
          <w:p w:rsidR="000A2B42" w:rsidRPr="00801FDF" w:rsidRDefault="000A2B42"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ΕΠΙΣΤΡΟΦΕΣ ΧΡΗΜΑΤΩΝ</w:t>
            </w:r>
          </w:p>
        </w:tc>
        <w:tc>
          <w:tcPr>
            <w:tcW w:w="1280" w:type="dxa"/>
            <w:noWrap/>
            <w:hideMark/>
          </w:tcPr>
          <w:p w:rsidR="000A2B42" w:rsidRPr="00400AAE" w:rsidRDefault="000A2B42" w:rsidP="00400AAE">
            <w:pPr>
              <w:spacing w:after="0" w:line="240" w:lineRule="auto"/>
              <w:jc w:val="right"/>
              <w:cnfStyle w:val="000000000000"/>
              <w:rPr>
                <w:rFonts w:eastAsia="Times New Roman"/>
                <w:bCs/>
                <w:color w:val="000000"/>
                <w:sz w:val="20"/>
                <w:szCs w:val="20"/>
                <w:lang w:eastAsia="el-GR"/>
              </w:rPr>
            </w:pPr>
            <w:r w:rsidRPr="00400AAE">
              <w:rPr>
                <w:rFonts w:eastAsia="Times New Roman"/>
                <w:bCs/>
                <w:color w:val="000000"/>
                <w:sz w:val="20"/>
                <w:szCs w:val="20"/>
                <w:lang w:eastAsia="el-GR"/>
              </w:rPr>
              <w:t>179.000</w:t>
            </w:r>
          </w:p>
        </w:tc>
        <w:tc>
          <w:tcPr>
            <w:tcW w:w="1298" w:type="dxa"/>
            <w:noWrap/>
            <w:hideMark/>
          </w:tcPr>
          <w:p w:rsidR="000A2B42" w:rsidRPr="000A2B42" w:rsidRDefault="000A2B42" w:rsidP="000A2B42">
            <w:pPr>
              <w:spacing w:after="0" w:line="240" w:lineRule="auto"/>
              <w:jc w:val="right"/>
              <w:cnfStyle w:val="000000000000"/>
              <w:rPr>
                <w:color w:val="auto"/>
                <w:sz w:val="20"/>
                <w:szCs w:val="20"/>
              </w:rPr>
            </w:pPr>
            <w:r w:rsidRPr="000A2B42">
              <w:rPr>
                <w:color w:val="auto"/>
                <w:sz w:val="20"/>
                <w:szCs w:val="20"/>
              </w:rPr>
              <w:t>159.352</w:t>
            </w:r>
          </w:p>
        </w:tc>
        <w:tc>
          <w:tcPr>
            <w:tcW w:w="1275" w:type="dxa"/>
            <w:noWrap/>
            <w:hideMark/>
          </w:tcPr>
          <w:p w:rsidR="000A2B42" w:rsidRPr="000A2B42" w:rsidRDefault="000A2B42" w:rsidP="000A2B42">
            <w:pPr>
              <w:spacing w:after="0" w:line="240" w:lineRule="auto"/>
              <w:jc w:val="right"/>
              <w:cnfStyle w:val="000000000000"/>
              <w:rPr>
                <w:color w:val="auto"/>
                <w:sz w:val="20"/>
                <w:szCs w:val="20"/>
              </w:rPr>
            </w:pPr>
            <w:r w:rsidRPr="000A2B42">
              <w:rPr>
                <w:color w:val="auto"/>
                <w:sz w:val="20"/>
                <w:szCs w:val="20"/>
              </w:rPr>
              <w:t>86.010</w:t>
            </w:r>
          </w:p>
        </w:tc>
        <w:tc>
          <w:tcPr>
            <w:tcW w:w="1107" w:type="dxa"/>
          </w:tcPr>
          <w:p w:rsidR="000A2B42" w:rsidRPr="000A2B42" w:rsidRDefault="000A2B42" w:rsidP="000A2B42">
            <w:pPr>
              <w:spacing w:after="0" w:line="240" w:lineRule="auto"/>
              <w:jc w:val="right"/>
              <w:cnfStyle w:val="000000000000"/>
              <w:rPr>
                <w:color w:val="auto"/>
                <w:sz w:val="20"/>
                <w:szCs w:val="20"/>
              </w:rPr>
            </w:pPr>
            <w:r w:rsidRPr="000A2B42">
              <w:rPr>
                <w:color w:val="auto"/>
                <w:sz w:val="20"/>
                <w:szCs w:val="20"/>
              </w:rPr>
              <w:t>73.342</w:t>
            </w:r>
          </w:p>
        </w:tc>
        <w:tc>
          <w:tcPr>
            <w:tcW w:w="1101" w:type="dxa"/>
            <w:noWrap/>
            <w:hideMark/>
          </w:tcPr>
          <w:p w:rsidR="000A2B42" w:rsidRPr="000A2B42" w:rsidRDefault="000A2B42" w:rsidP="000A2B42">
            <w:pPr>
              <w:spacing w:after="0" w:line="240" w:lineRule="auto"/>
              <w:jc w:val="right"/>
              <w:cnfStyle w:val="000000000000"/>
              <w:rPr>
                <w:color w:val="auto"/>
                <w:sz w:val="20"/>
                <w:szCs w:val="20"/>
              </w:rPr>
            </w:pPr>
            <w:r w:rsidRPr="000A2B42">
              <w:rPr>
                <w:color w:val="auto"/>
                <w:sz w:val="20"/>
                <w:szCs w:val="20"/>
              </w:rPr>
              <w:t>85,27%</w:t>
            </w:r>
          </w:p>
        </w:tc>
      </w:tr>
      <w:tr w:rsidR="00AC5F6E" w:rsidRPr="00746915" w:rsidTr="00AC5F6E">
        <w:trPr>
          <w:cnfStyle w:val="000000100000"/>
          <w:trHeight w:val="315"/>
        </w:trPr>
        <w:tc>
          <w:tcPr>
            <w:cnfStyle w:val="001000000000"/>
            <w:tcW w:w="2376" w:type="dxa"/>
            <w:hideMark/>
          </w:tcPr>
          <w:p w:rsidR="00400AAE" w:rsidRPr="00801FDF" w:rsidRDefault="00400AAE" w:rsidP="0057153C">
            <w:pPr>
              <w:spacing w:after="0" w:line="240" w:lineRule="auto"/>
              <w:rPr>
                <w:rFonts w:eastAsia="Times New Roman"/>
                <w:b w:val="0"/>
                <w:bCs w:val="0"/>
                <w:color w:val="000000"/>
                <w:sz w:val="20"/>
                <w:szCs w:val="20"/>
                <w:lang w:eastAsia="el-GR"/>
              </w:rPr>
            </w:pPr>
            <w:r w:rsidRPr="00801FDF">
              <w:rPr>
                <w:rFonts w:eastAsia="Times New Roman"/>
                <w:b w:val="0"/>
                <w:bCs w:val="0"/>
                <w:color w:val="000000"/>
                <w:sz w:val="20"/>
                <w:szCs w:val="20"/>
                <w:lang w:eastAsia="el-GR"/>
              </w:rPr>
              <w:t>ΧΡΗΜΑΤΙΚΟ ΥΠΟΛΟΙΠΟ ΠΡΟΗΓΟΥΜΕΝΗΣ ΧΡΗΣΗΣ</w:t>
            </w:r>
          </w:p>
        </w:tc>
        <w:tc>
          <w:tcPr>
            <w:tcW w:w="1280" w:type="dxa"/>
            <w:noWrap/>
            <w:hideMark/>
          </w:tcPr>
          <w:p w:rsidR="00400AAE" w:rsidRPr="00C25C14" w:rsidRDefault="00400AAE" w:rsidP="00C25C14">
            <w:pPr>
              <w:spacing w:after="0" w:line="240" w:lineRule="auto"/>
              <w:jc w:val="right"/>
              <w:cnfStyle w:val="000000100000"/>
              <w:rPr>
                <w:rFonts w:eastAsia="Times New Roman"/>
                <w:bCs/>
                <w:color w:val="000000"/>
                <w:sz w:val="20"/>
                <w:szCs w:val="20"/>
                <w:lang w:eastAsia="el-GR"/>
              </w:rPr>
            </w:pPr>
            <w:r w:rsidRPr="00400AAE">
              <w:rPr>
                <w:rFonts w:eastAsia="Times New Roman"/>
                <w:bCs/>
                <w:color w:val="000000"/>
                <w:sz w:val="20"/>
                <w:szCs w:val="20"/>
                <w:lang w:eastAsia="el-GR"/>
              </w:rPr>
              <w:t>5.807.931</w:t>
            </w:r>
          </w:p>
        </w:tc>
        <w:tc>
          <w:tcPr>
            <w:tcW w:w="1298" w:type="dxa"/>
            <w:noWrap/>
            <w:hideMark/>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5.807.931</w:t>
            </w:r>
          </w:p>
        </w:tc>
        <w:tc>
          <w:tcPr>
            <w:tcW w:w="1275" w:type="dxa"/>
            <w:noWrap/>
            <w:hideMark/>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5.184.976</w:t>
            </w:r>
          </w:p>
        </w:tc>
        <w:tc>
          <w:tcPr>
            <w:tcW w:w="1107" w:type="dxa"/>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622.955</w:t>
            </w:r>
          </w:p>
        </w:tc>
        <w:tc>
          <w:tcPr>
            <w:tcW w:w="1101" w:type="dxa"/>
            <w:noWrap/>
            <w:hideMark/>
          </w:tcPr>
          <w:p w:rsidR="00400AAE" w:rsidRPr="000A2B42" w:rsidRDefault="00400AAE" w:rsidP="00400AAE">
            <w:pPr>
              <w:spacing w:after="0" w:line="240" w:lineRule="auto"/>
              <w:jc w:val="right"/>
              <w:cnfStyle w:val="000000100000"/>
              <w:rPr>
                <w:rFonts w:eastAsia="Times New Roman"/>
                <w:bCs/>
                <w:color w:val="auto"/>
                <w:sz w:val="20"/>
                <w:szCs w:val="20"/>
                <w:lang w:eastAsia="el-GR"/>
              </w:rPr>
            </w:pPr>
            <w:r w:rsidRPr="000A2B42">
              <w:rPr>
                <w:rFonts w:eastAsia="Times New Roman"/>
                <w:bCs/>
                <w:color w:val="auto"/>
                <w:sz w:val="20"/>
                <w:szCs w:val="20"/>
                <w:lang w:eastAsia="el-GR"/>
              </w:rPr>
              <w:t>12,01%</w:t>
            </w:r>
          </w:p>
        </w:tc>
      </w:tr>
      <w:tr w:rsidR="00AC5F6E" w:rsidRPr="00801FDF" w:rsidTr="00AC5F6E">
        <w:trPr>
          <w:cnfStyle w:val="010000000000"/>
          <w:trHeight w:val="350"/>
        </w:trPr>
        <w:tc>
          <w:tcPr>
            <w:cnfStyle w:val="001000000000"/>
            <w:tcW w:w="2376" w:type="dxa"/>
            <w:hideMark/>
          </w:tcPr>
          <w:p w:rsidR="00450EB1" w:rsidRPr="00801FDF" w:rsidRDefault="00D138F0" w:rsidP="0057153C">
            <w:pPr>
              <w:spacing w:after="0" w:line="240" w:lineRule="auto"/>
              <w:jc w:val="right"/>
              <w:rPr>
                <w:rFonts w:eastAsia="Times New Roman"/>
                <w:bCs w:val="0"/>
                <w:color w:val="000000"/>
                <w:sz w:val="20"/>
                <w:szCs w:val="20"/>
                <w:lang w:eastAsia="el-GR"/>
              </w:rPr>
            </w:pPr>
            <w:r w:rsidRPr="00801FDF">
              <w:rPr>
                <w:rFonts w:eastAsia="Times New Roman"/>
                <w:bCs w:val="0"/>
                <w:color w:val="000000"/>
                <w:sz w:val="20"/>
                <w:szCs w:val="20"/>
                <w:lang w:eastAsia="el-GR"/>
              </w:rPr>
              <w:t>ΣΥΝΟΛΑ :</w:t>
            </w:r>
          </w:p>
        </w:tc>
        <w:tc>
          <w:tcPr>
            <w:tcW w:w="1280" w:type="dxa"/>
            <w:noWrap/>
            <w:hideMark/>
          </w:tcPr>
          <w:p w:rsidR="00450EB1" w:rsidRPr="00400AAE" w:rsidRDefault="00B900A5" w:rsidP="00A36E5E">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0A2B42">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0A2B42">
              <w:rPr>
                <w:rFonts w:eastAsia="Times New Roman"/>
                <w:b w:val="0"/>
                <w:bCs w:val="0"/>
                <w:noProof/>
                <w:color w:val="000000"/>
                <w:sz w:val="20"/>
                <w:szCs w:val="20"/>
                <w:lang w:eastAsia="el-GR"/>
              </w:rPr>
              <w:t>68.862.894</w:t>
            </w:r>
            <w:r>
              <w:rPr>
                <w:rFonts w:eastAsia="Times New Roman"/>
                <w:color w:val="000000"/>
                <w:sz w:val="20"/>
                <w:szCs w:val="20"/>
                <w:lang w:eastAsia="el-GR"/>
              </w:rPr>
              <w:fldChar w:fldCharType="end"/>
            </w:r>
          </w:p>
        </w:tc>
        <w:tc>
          <w:tcPr>
            <w:tcW w:w="1298" w:type="dxa"/>
            <w:noWrap/>
            <w:hideMark/>
          </w:tcPr>
          <w:p w:rsidR="00450EB1" w:rsidRPr="00400AAE" w:rsidRDefault="00B900A5" w:rsidP="00A36E5E">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0A2B42">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0A2B42">
              <w:rPr>
                <w:rFonts w:eastAsia="Times New Roman"/>
                <w:b w:val="0"/>
                <w:bCs w:val="0"/>
                <w:noProof/>
                <w:color w:val="000000"/>
                <w:sz w:val="20"/>
                <w:szCs w:val="20"/>
                <w:lang w:eastAsia="el-GR"/>
              </w:rPr>
              <w:t>30.510.088</w:t>
            </w:r>
            <w:r>
              <w:rPr>
                <w:rFonts w:eastAsia="Times New Roman"/>
                <w:color w:val="000000"/>
                <w:sz w:val="20"/>
                <w:szCs w:val="20"/>
                <w:lang w:eastAsia="el-GR"/>
              </w:rPr>
              <w:fldChar w:fldCharType="end"/>
            </w:r>
          </w:p>
        </w:tc>
        <w:tc>
          <w:tcPr>
            <w:tcW w:w="1275" w:type="dxa"/>
            <w:noWrap/>
            <w:hideMark/>
          </w:tcPr>
          <w:p w:rsidR="00450EB1" w:rsidRPr="00400AAE" w:rsidRDefault="00B900A5" w:rsidP="0057153C">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0A2B42">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0A2B42">
              <w:rPr>
                <w:rFonts w:eastAsia="Times New Roman"/>
                <w:b w:val="0"/>
                <w:bCs w:val="0"/>
                <w:noProof/>
                <w:color w:val="000000"/>
                <w:sz w:val="20"/>
                <w:szCs w:val="20"/>
                <w:lang w:eastAsia="el-GR"/>
              </w:rPr>
              <w:t>32.149.498</w:t>
            </w:r>
            <w:r>
              <w:rPr>
                <w:rFonts w:eastAsia="Times New Roman"/>
                <w:color w:val="000000"/>
                <w:sz w:val="20"/>
                <w:szCs w:val="20"/>
                <w:lang w:eastAsia="el-GR"/>
              </w:rPr>
              <w:fldChar w:fldCharType="end"/>
            </w:r>
          </w:p>
        </w:tc>
        <w:tc>
          <w:tcPr>
            <w:tcW w:w="1107" w:type="dxa"/>
          </w:tcPr>
          <w:p w:rsidR="00450EB1" w:rsidRPr="00400AAE" w:rsidRDefault="00B900A5" w:rsidP="00C520A9">
            <w:pPr>
              <w:spacing w:after="0" w:line="240" w:lineRule="auto"/>
              <w:jc w:val="right"/>
              <w:cnfStyle w:val="010000000000"/>
              <w:rPr>
                <w:rFonts w:eastAsia="Times New Roman"/>
                <w:b w:val="0"/>
                <w:bCs w:val="0"/>
                <w:color w:val="000000"/>
                <w:sz w:val="20"/>
                <w:szCs w:val="20"/>
                <w:lang w:eastAsia="el-GR"/>
              </w:rPr>
            </w:pPr>
            <w:r>
              <w:rPr>
                <w:rFonts w:eastAsia="Times New Roman"/>
                <w:color w:val="000000"/>
                <w:sz w:val="20"/>
                <w:szCs w:val="20"/>
                <w:lang w:eastAsia="el-GR"/>
              </w:rPr>
              <w:fldChar w:fldCharType="begin"/>
            </w:r>
            <w:r w:rsidR="000A2B42">
              <w:rPr>
                <w:rFonts w:eastAsia="Times New Roman"/>
                <w:color w:val="000000"/>
                <w:sz w:val="20"/>
                <w:szCs w:val="20"/>
                <w:lang w:eastAsia="el-GR"/>
              </w:rPr>
              <w:instrText xml:space="preserve"> =SUM(ABOVE) \# "#.##0" </w:instrText>
            </w:r>
            <w:r>
              <w:rPr>
                <w:rFonts w:eastAsia="Times New Roman"/>
                <w:color w:val="000000"/>
                <w:sz w:val="20"/>
                <w:szCs w:val="20"/>
                <w:lang w:eastAsia="el-GR"/>
              </w:rPr>
              <w:fldChar w:fldCharType="separate"/>
            </w:r>
            <w:r w:rsidR="000A2B42">
              <w:rPr>
                <w:rFonts w:eastAsia="Times New Roman"/>
                <w:b w:val="0"/>
                <w:bCs w:val="0"/>
                <w:noProof/>
                <w:color w:val="000000"/>
                <w:sz w:val="20"/>
                <w:szCs w:val="20"/>
                <w:lang w:eastAsia="el-GR"/>
              </w:rPr>
              <w:t>-1.639.405</w:t>
            </w:r>
            <w:r>
              <w:rPr>
                <w:rFonts w:eastAsia="Times New Roman"/>
                <w:color w:val="000000"/>
                <w:sz w:val="20"/>
                <w:szCs w:val="20"/>
                <w:lang w:eastAsia="el-GR"/>
              </w:rPr>
              <w:fldChar w:fldCharType="end"/>
            </w:r>
          </w:p>
        </w:tc>
        <w:tc>
          <w:tcPr>
            <w:tcW w:w="1101" w:type="dxa"/>
            <w:noWrap/>
            <w:hideMark/>
          </w:tcPr>
          <w:p w:rsidR="00450EB1" w:rsidRPr="00400AAE" w:rsidRDefault="00B900A5" w:rsidP="000A2B42">
            <w:pPr>
              <w:spacing w:after="0" w:line="240" w:lineRule="auto"/>
              <w:jc w:val="right"/>
              <w:cnfStyle w:val="010000000000"/>
              <w:rPr>
                <w:rFonts w:eastAsia="Times New Roman"/>
                <w:bCs w:val="0"/>
                <w:color w:val="000000"/>
                <w:sz w:val="20"/>
                <w:szCs w:val="20"/>
                <w:lang w:eastAsia="el-GR"/>
              </w:rPr>
            </w:pPr>
            <w:r>
              <w:rPr>
                <w:rFonts w:eastAsia="Times New Roman"/>
                <w:color w:val="000000"/>
                <w:sz w:val="20"/>
                <w:szCs w:val="20"/>
                <w:lang w:eastAsia="el-GR"/>
              </w:rPr>
              <w:fldChar w:fldCharType="begin"/>
            </w:r>
            <w:r w:rsidR="000A2B42">
              <w:rPr>
                <w:rFonts w:eastAsia="Times New Roman"/>
                <w:color w:val="000000"/>
                <w:sz w:val="20"/>
                <w:szCs w:val="20"/>
                <w:lang w:eastAsia="el-GR"/>
              </w:rPr>
              <w:instrText xml:space="preserve"> =(e11/d11)*100\ \# "0,00%" </w:instrText>
            </w:r>
            <w:r>
              <w:rPr>
                <w:rFonts w:eastAsia="Times New Roman"/>
                <w:color w:val="000000"/>
                <w:sz w:val="20"/>
                <w:szCs w:val="20"/>
                <w:lang w:eastAsia="el-GR"/>
              </w:rPr>
              <w:fldChar w:fldCharType="separate"/>
            </w:r>
            <w:r w:rsidR="000A2B42">
              <w:rPr>
                <w:rFonts w:eastAsia="Times New Roman"/>
                <w:b w:val="0"/>
                <w:bCs w:val="0"/>
                <w:noProof/>
                <w:color w:val="000000"/>
                <w:sz w:val="20"/>
                <w:szCs w:val="20"/>
                <w:lang w:eastAsia="el-GR"/>
              </w:rPr>
              <w:t>-5,10</w:t>
            </w:r>
            <w:r w:rsidR="000A2B42">
              <w:rPr>
                <w:rFonts w:eastAsia="Times New Roman"/>
                <w:noProof/>
                <w:color w:val="000000"/>
                <w:sz w:val="20"/>
                <w:szCs w:val="20"/>
                <w:lang w:eastAsia="el-GR"/>
              </w:rPr>
              <w:t>%</w:t>
            </w:r>
            <w:r>
              <w:rPr>
                <w:rFonts w:eastAsia="Times New Roman"/>
                <w:color w:val="000000"/>
                <w:sz w:val="20"/>
                <w:szCs w:val="20"/>
                <w:lang w:eastAsia="el-GR"/>
              </w:rPr>
              <w:fldChar w:fldCharType="end"/>
            </w:r>
          </w:p>
        </w:tc>
      </w:tr>
    </w:tbl>
    <w:p w:rsidR="00AC5F6E" w:rsidRDefault="00AC5F6E" w:rsidP="00D934F9">
      <w:pPr>
        <w:spacing w:after="0" w:line="360" w:lineRule="auto"/>
        <w:jc w:val="both"/>
      </w:pPr>
      <w:r>
        <w:t xml:space="preserve">* </w:t>
      </w:r>
      <w:r w:rsidRPr="00BC20D0">
        <w:rPr>
          <w:sz w:val="18"/>
          <w:szCs w:val="18"/>
        </w:rPr>
        <w:t xml:space="preserve">Σημειώνεται ότι </w:t>
      </w:r>
      <w:r w:rsidR="009469CF" w:rsidRPr="00BC20D0">
        <w:rPr>
          <w:sz w:val="18"/>
          <w:szCs w:val="18"/>
        </w:rPr>
        <w:t>στα εισπρακτέα υπόλοιπα προηγούμενων οικονομικών ετών προβλέπονται στον προϋπολογισμό εσόδων (Κ.Α. 32) 7.547.141 € και αντίστοιχα στον σκέλος των εξόδων στον Κ.Α. 85 έχουν εγγραφεί «Προβλέψεις μη είσπραξης» ποσού 7.107.879 €. Συνεπώς η εκτιμούμενη διαφορά (32 – 85) που ανέρχεται στο ύψος των 439.262 € είναι το ποσό που εκτιμάται ότι θα εισπραχθεί το 2015.</w:t>
      </w:r>
    </w:p>
    <w:p w:rsidR="006E5B64" w:rsidRDefault="006E5B64">
      <w:pPr>
        <w:spacing w:after="0" w:line="240" w:lineRule="auto"/>
      </w:pPr>
      <w:r>
        <w:br w:type="page"/>
      </w:r>
    </w:p>
    <w:p w:rsidR="0057153C" w:rsidRDefault="00D934F9" w:rsidP="00D934F9">
      <w:pPr>
        <w:spacing w:after="0" w:line="360" w:lineRule="auto"/>
        <w:jc w:val="both"/>
      </w:pPr>
      <w:r>
        <w:t xml:space="preserve">Για την εκτέλεση του προϋπολογισμού στο </w:t>
      </w:r>
      <w:r w:rsidRPr="00B75DDF">
        <w:rPr>
          <w:b/>
        </w:rPr>
        <w:t>σκέλος των εξόδων</w:t>
      </w:r>
      <w:r>
        <w:t>, όπως φαί</w:t>
      </w:r>
      <w:r w:rsidR="005624EE">
        <w:t xml:space="preserve">νεται από τον πίνακα Β’, </w:t>
      </w:r>
      <w:r w:rsidR="005955A7">
        <w:t>από</w:t>
      </w:r>
      <w:r w:rsidR="005624EE">
        <w:t xml:space="preserve"> 1/1 – 3</w:t>
      </w:r>
      <w:r w:rsidR="00286844" w:rsidRPr="00286844">
        <w:t>0</w:t>
      </w:r>
      <w:r w:rsidR="005624EE">
        <w:t>/</w:t>
      </w:r>
      <w:r w:rsidR="00286844" w:rsidRPr="00286844">
        <w:t>6</w:t>
      </w:r>
      <w:r w:rsidR="005624EE" w:rsidRPr="005624EE">
        <w:t>/15</w:t>
      </w:r>
      <w:r>
        <w:t>, δεσμε</w:t>
      </w:r>
      <w:r w:rsidR="00D45627">
        <w:t>ύτηκαν</w:t>
      </w:r>
      <w:r>
        <w:t xml:space="preserve"> πιστώσεις </w:t>
      </w:r>
      <w:r w:rsidR="002463E8" w:rsidRPr="002463E8">
        <w:t>38.570.599</w:t>
      </w:r>
      <w:r w:rsidR="00164A9D">
        <w:t xml:space="preserve"> </w:t>
      </w:r>
      <w:r>
        <w:t xml:space="preserve">€ έναντι </w:t>
      </w:r>
      <w:r w:rsidR="002463E8">
        <w:t>διαμορφω</w:t>
      </w:r>
      <w:r>
        <w:t xml:space="preserve">θέντων </w:t>
      </w:r>
      <w:r w:rsidR="002463E8">
        <w:t>61.594.149</w:t>
      </w:r>
      <w:r w:rsidR="00164A9D">
        <w:t xml:space="preserve"> </w:t>
      </w:r>
      <w:r w:rsidR="00D45627">
        <w:t>€ (</w:t>
      </w:r>
      <w:r w:rsidR="00E62962">
        <w:t xml:space="preserve">δεν </w:t>
      </w:r>
      <w:r w:rsidR="00D45627">
        <w:t>συμ</w:t>
      </w:r>
      <w:r>
        <w:t xml:space="preserve">περιλαμβάνονται οι «προβλέψεις μη είσπραξης» </w:t>
      </w:r>
      <w:r w:rsidR="005624EE" w:rsidRPr="005624EE">
        <w:t>7.107.879</w:t>
      </w:r>
      <w:r>
        <w:t xml:space="preserve"> € και το Αποθεματικό  </w:t>
      </w:r>
      <w:r w:rsidR="002463E8" w:rsidRPr="002463E8">
        <w:t>160.866,40</w:t>
      </w:r>
      <w:r>
        <w:t xml:space="preserve"> €) ποσοστό δέσμευσης </w:t>
      </w:r>
      <w:r w:rsidR="002463E8">
        <w:t>6</w:t>
      </w:r>
      <w:r w:rsidR="005624EE" w:rsidRPr="005624EE">
        <w:t>2.</w:t>
      </w:r>
      <w:r w:rsidR="002463E8">
        <w:t>62</w:t>
      </w:r>
      <w:r>
        <w:t xml:space="preserve">%. Συνολικά και ανά κατηγορία εξόδου έχουν τιμολογηθεί δαπάνες ύψους </w:t>
      </w:r>
      <w:r w:rsidR="002463E8">
        <w:t>26.127.270</w:t>
      </w:r>
      <w:r>
        <w:t xml:space="preserve"> € από τις οποίες έχουν </w:t>
      </w:r>
      <w:r w:rsidR="005B28EF">
        <w:t>πληρωθεί</w:t>
      </w:r>
      <w:r>
        <w:t xml:space="preserve"> </w:t>
      </w:r>
      <w:r w:rsidR="002463E8">
        <w:t>24.581.296</w:t>
      </w:r>
      <w:r>
        <w:t xml:space="preserve"> €</w:t>
      </w:r>
      <w:r w:rsidRPr="00D07F16">
        <w:t xml:space="preserve"> (</w:t>
      </w:r>
      <w:r>
        <w:t xml:space="preserve">ποσοστό πληρωθέντων/ </w:t>
      </w:r>
      <w:r w:rsidR="005955A7">
        <w:t>τιμολογημένων</w:t>
      </w:r>
      <w:r>
        <w:t xml:space="preserve"> </w:t>
      </w:r>
      <w:r w:rsidR="002463E8">
        <w:t>94,08</w:t>
      </w:r>
      <w:r w:rsidR="00884461" w:rsidRPr="001C1EE0">
        <w:t>%</w:t>
      </w:r>
      <w:r w:rsidRPr="001C1EE0">
        <w:t>).</w:t>
      </w:r>
      <w:r>
        <w:t xml:space="preserve"> </w:t>
      </w:r>
    </w:p>
    <w:p w:rsidR="00AE39DF" w:rsidRDefault="007F6A6C" w:rsidP="00D934F9">
      <w:pPr>
        <w:spacing w:after="0" w:line="360" w:lineRule="auto"/>
        <w:jc w:val="both"/>
      </w:pPr>
      <w:r>
        <w:t xml:space="preserve">Τα προνοιακά επιδόματα ανήλθαν στο ύψος των </w:t>
      </w:r>
      <w:r w:rsidR="002463E8">
        <w:t>14.663.962</w:t>
      </w:r>
      <w:r>
        <w:t xml:space="preserve"> € που αντιστοιχεί στο </w:t>
      </w:r>
      <w:r w:rsidR="002463E8">
        <w:t>56,13</w:t>
      </w:r>
      <w:r w:rsidRPr="001C1EE0">
        <w:t>%</w:t>
      </w:r>
      <w:r>
        <w:t xml:space="preserve"> επί συνόλου τιμολογη</w:t>
      </w:r>
      <w:r w:rsidR="005955A7">
        <w:t>μένω</w:t>
      </w:r>
      <w:r>
        <w:t xml:space="preserve">ν. </w:t>
      </w:r>
      <w:r w:rsidR="00AE39DF">
        <w:t xml:space="preserve">Η καθαρή συνολική δαπάνη του Δήμου που τιμολογήθηκε ανέρχεται στα </w:t>
      </w:r>
      <w:r w:rsidR="002463E8" w:rsidRPr="002463E8">
        <w:t>11</w:t>
      </w:r>
      <w:r w:rsidR="002463E8">
        <w:t>.</w:t>
      </w:r>
      <w:r w:rsidR="002463E8" w:rsidRPr="002463E8">
        <w:t>463</w:t>
      </w:r>
      <w:r w:rsidR="002463E8">
        <w:t>.</w:t>
      </w:r>
      <w:r w:rsidR="002463E8" w:rsidRPr="002463E8">
        <w:t>308</w:t>
      </w:r>
      <w:r w:rsidR="00AE39DF">
        <w:t xml:space="preserve"> €. Αναλυτικότερα</w:t>
      </w:r>
      <w:r w:rsidR="004D7AB5" w:rsidRPr="002463E8">
        <w:t xml:space="preserve"> </w:t>
      </w:r>
      <w:r w:rsidR="004D7AB5">
        <w:t>έχουν τιμολογηθεί για</w:t>
      </w:r>
      <w:r w:rsidR="00AE39DF">
        <w:t xml:space="preserve">: </w:t>
      </w:r>
    </w:p>
    <w:p w:rsidR="00AE39DF" w:rsidRDefault="007F6A6C" w:rsidP="0055368E">
      <w:pPr>
        <w:pStyle w:val="a3"/>
        <w:numPr>
          <w:ilvl w:val="0"/>
          <w:numId w:val="6"/>
        </w:numPr>
        <w:spacing w:after="0" w:line="360" w:lineRule="auto"/>
        <w:jc w:val="both"/>
      </w:pPr>
      <w:r>
        <w:t xml:space="preserve">δαπάνη μισθοδοσίας </w:t>
      </w:r>
      <w:r w:rsidR="004D7AB5">
        <w:t>ποσό</w:t>
      </w:r>
      <w:r w:rsidR="00AE39DF">
        <w:t xml:space="preserve"> </w:t>
      </w:r>
      <w:r w:rsidR="00A96B14">
        <w:t>3.170.916</w:t>
      </w:r>
      <w:r w:rsidR="00AE39DF">
        <w:t xml:space="preserve"> €</w:t>
      </w:r>
    </w:p>
    <w:p w:rsidR="00AE39DF" w:rsidRDefault="00AE39DF" w:rsidP="0055368E">
      <w:pPr>
        <w:pStyle w:val="a3"/>
        <w:numPr>
          <w:ilvl w:val="0"/>
          <w:numId w:val="6"/>
        </w:numPr>
        <w:spacing w:after="0" w:line="360" w:lineRule="auto"/>
        <w:jc w:val="both"/>
      </w:pPr>
      <w:r>
        <w:t xml:space="preserve">δαπάνη </w:t>
      </w:r>
      <w:r w:rsidRPr="00AE39DF">
        <w:t>για την εξυπηρέτηση δημοσίας πίστεως</w:t>
      </w:r>
      <w:r w:rsidR="007F6A6C">
        <w:t xml:space="preserve"> </w:t>
      </w:r>
      <w:r w:rsidR="0055368E">
        <w:t xml:space="preserve">(δάνεια) </w:t>
      </w:r>
      <w:r w:rsidR="004D7AB5">
        <w:t>ποσό</w:t>
      </w:r>
      <w:r>
        <w:t xml:space="preserve"> </w:t>
      </w:r>
      <w:r w:rsidR="00A96B14">
        <w:t>254.388</w:t>
      </w:r>
      <w:r>
        <w:t xml:space="preserve"> €.</w:t>
      </w:r>
    </w:p>
    <w:p w:rsidR="00AE39DF" w:rsidRDefault="00AE39DF" w:rsidP="0055368E">
      <w:pPr>
        <w:pStyle w:val="a3"/>
        <w:numPr>
          <w:ilvl w:val="0"/>
          <w:numId w:val="6"/>
        </w:numPr>
        <w:spacing w:after="0" w:line="360" w:lineRule="auto"/>
        <w:jc w:val="both"/>
      </w:pPr>
      <w:r>
        <w:t>δαπάνη για επιχορηγήσεις στα Νομικά Πρόσωπα – Σχολικές Επιτροπές του Δήμου καθώς και για επιχορηγήσεις  σε οικονομικά αδυνάτους – Πολιτιστικούς Συλλόγους και</w:t>
      </w:r>
      <w:r w:rsidR="0055368E">
        <w:t xml:space="preserve"> Αθλητικά σωματεία  </w:t>
      </w:r>
      <w:r w:rsidR="004D7AB5">
        <w:t>ποσό</w:t>
      </w:r>
      <w:r w:rsidR="0055368E">
        <w:t xml:space="preserve"> </w:t>
      </w:r>
      <w:r w:rsidR="00A96B14">
        <w:t>2.788.007</w:t>
      </w:r>
      <w:r w:rsidR="004D7AB5">
        <w:t xml:space="preserve"> </w:t>
      </w:r>
      <w:r w:rsidR="0055368E">
        <w:t>€.</w:t>
      </w:r>
    </w:p>
    <w:p w:rsidR="0055368E" w:rsidRDefault="0055368E" w:rsidP="0055368E">
      <w:pPr>
        <w:pStyle w:val="a3"/>
        <w:numPr>
          <w:ilvl w:val="0"/>
          <w:numId w:val="6"/>
        </w:numPr>
        <w:spacing w:after="0" w:line="360" w:lineRule="auto"/>
        <w:jc w:val="both"/>
      </w:pPr>
      <w:r>
        <w:t>δαπάνη για λοιπές</w:t>
      </w:r>
      <w:r w:rsidRPr="0055368E">
        <w:t xml:space="preserve"> </w:t>
      </w:r>
      <w:r>
        <w:t>λ</w:t>
      </w:r>
      <w:r w:rsidRPr="0055368E">
        <w:t>ειτουργικ</w:t>
      </w:r>
      <w:r>
        <w:t>ές</w:t>
      </w:r>
      <w:r w:rsidRPr="0055368E">
        <w:t xml:space="preserve"> </w:t>
      </w:r>
      <w:r>
        <w:t>δ</w:t>
      </w:r>
      <w:r w:rsidRPr="0055368E">
        <w:t>απ</w:t>
      </w:r>
      <w:r>
        <w:t>ά</w:t>
      </w:r>
      <w:r w:rsidRPr="0055368E">
        <w:t>ν</w:t>
      </w:r>
      <w:r>
        <w:t xml:space="preserve">ες </w:t>
      </w:r>
      <w:r w:rsidR="004D7AB5">
        <w:t>ποσό</w:t>
      </w:r>
      <w:r>
        <w:t xml:space="preserve"> </w:t>
      </w:r>
      <w:r w:rsidR="00A96B14">
        <w:t>1.564.828</w:t>
      </w:r>
      <w:r>
        <w:t xml:space="preserve"> €.</w:t>
      </w:r>
    </w:p>
    <w:p w:rsidR="0055368E" w:rsidRDefault="004D7AB5" w:rsidP="0055368E">
      <w:pPr>
        <w:pStyle w:val="a3"/>
        <w:numPr>
          <w:ilvl w:val="0"/>
          <w:numId w:val="6"/>
        </w:numPr>
        <w:spacing w:after="0" w:line="360" w:lineRule="auto"/>
        <w:jc w:val="both"/>
      </w:pPr>
      <w:r>
        <w:t>επενδύσεις</w:t>
      </w:r>
      <w:r w:rsidR="0055368E">
        <w:t xml:space="preserve"> </w:t>
      </w:r>
      <w:r>
        <w:t>ποσό</w:t>
      </w:r>
      <w:r w:rsidR="0055368E">
        <w:t xml:space="preserve"> </w:t>
      </w:r>
      <w:r w:rsidR="00A96B14">
        <w:t>795.768</w:t>
      </w:r>
      <w:r>
        <w:t xml:space="preserve"> </w:t>
      </w:r>
      <w:r w:rsidR="0055368E">
        <w:t>€.</w:t>
      </w:r>
    </w:p>
    <w:p w:rsidR="0055368E" w:rsidRDefault="0055368E" w:rsidP="0055368E">
      <w:pPr>
        <w:pStyle w:val="a3"/>
        <w:numPr>
          <w:ilvl w:val="0"/>
          <w:numId w:val="6"/>
        </w:numPr>
        <w:spacing w:after="0" w:line="360" w:lineRule="auto"/>
        <w:jc w:val="both"/>
      </w:pPr>
      <w:r>
        <w:t xml:space="preserve">πληρωμές Π.Ο.Ε. </w:t>
      </w:r>
      <w:r w:rsidR="004D7AB5">
        <w:t>ποσό</w:t>
      </w:r>
      <w:r>
        <w:t xml:space="preserve"> </w:t>
      </w:r>
      <w:r w:rsidR="00A96B14">
        <w:t>1.606.242</w:t>
      </w:r>
      <w:r>
        <w:t xml:space="preserve"> € και </w:t>
      </w:r>
    </w:p>
    <w:p w:rsidR="0055368E" w:rsidRDefault="0055368E" w:rsidP="00D934F9">
      <w:pPr>
        <w:pStyle w:val="a3"/>
        <w:numPr>
          <w:ilvl w:val="0"/>
          <w:numId w:val="6"/>
        </w:numPr>
        <w:spacing w:after="0" w:line="360" w:lineRule="auto"/>
        <w:jc w:val="both"/>
      </w:pPr>
      <w:r>
        <w:t>οι α</w:t>
      </w:r>
      <w:r w:rsidRPr="0055368E">
        <w:t>ποδόσεις</w:t>
      </w:r>
      <w:r>
        <w:t xml:space="preserve"> υπέρ Δημοσίου και σε τρίτους </w:t>
      </w:r>
      <w:r w:rsidR="00F91007">
        <w:t xml:space="preserve">ποσό </w:t>
      </w:r>
      <w:r w:rsidR="0063759A">
        <w:t xml:space="preserve">1.283.156 </w:t>
      </w:r>
      <w:r>
        <w:t>€</w:t>
      </w:r>
    </w:p>
    <w:p w:rsidR="005B28EF" w:rsidRDefault="005B28EF" w:rsidP="00D934F9">
      <w:pPr>
        <w:pStyle w:val="a3"/>
        <w:numPr>
          <w:ilvl w:val="0"/>
          <w:numId w:val="6"/>
        </w:numPr>
        <w:spacing w:after="0" w:line="360" w:lineRule="auto"/>
        <w:jc w:val="both"/>
      </w:pPr>
      <w:r>
        <w:t xml:space="preserve">οι απλήρωτες υποχρεώσεις </w:t>
      </w:r>
      <w:r w:rsidR="004D7AB5">
        <w:t>3</w:t>
      </w:r>
      <w:r w:rsidR="0063759A">
        <w:t>0</w:t>
      </w:r>
      <w:r w:rsidR="004D7AB5">
        <w:t>/</w:t>
      </w:r>
      <w:r w:rsidR="0063759A">
        <w:t>6</w:t>
      </w:r>
      <w:r w:rsidR="004D7AB5">
        <w:t>/2015</w:t>
      </w:r>
      <w:r>
        <w:t xml:space="preserve"> ανήλθαν στα </w:t>
      </w:r>
      <w:r w:rsidR="0063759A">
        <w:t>1.545.974</w:t>
      </w:r>
      <w:r>
        <w:t xml:space="preserve"> €</w:t>
      </w:r>
      <w:r w:rsidR="004D7AB5">
        <w:t>, έναντι στόχου την 3</w:t>
      </w:r>
      <w:r w:rsidR="0063759A">
        <w:t>0</w:t>
      </w:r>
      <w:r w:rsidR="004D7AB5">
        <w:t>/</w:t>
      </w:r>
      <w:r w:rsidR="0063759A">
        <w:t>6</w:t>
      </w:r>
      <w:r w:rsidR="004D7AB5">
        <w:t xml:space="preserve">/2015 τα </w:t>
      </w:r>
      <w:r w:rsidR="0063759A" w:rsidRPr="0063759A">
        <w:t>1.650.000</w:t>
      </w:r>
      <w:r w:rsidR="004D7AB5">
        <w:t xml:space="preserve"> €</w:t>
      </w:r>
      <w:r w:rsidR="00F91007">
        <w:t xml:space="preserve"> [</w:t>
      </w:r>
      <w:r w:rsidR="0063759A">
        <w:t>συγκράτη</w:t>
      </w:r>
      <w:r w:rsidR="00F91007">
        <w:t xml:space="preserve">ση </w:t>
      </w:r>
      <w:r w:rsidR="0063759A" w:rsidRPr="0063759A">
        <w:t>104</w:t>
      </w:r>
      <w:r w:rsidR="006550CC">
        <w:t>.</w:t>
      </w:r>
      <w:r w:rsidR="0063759A" w:rsidRPr="0063759A">
        <w:t>026</w:t>
      </w:r>
      <w:r w:rsidR="00F91007">
        <w:t xml:space="preserve"> € (</w:t>
      </w:r>
      <w:r w:rsidR="006550CC">
        <w:t>6</w:t>
      </w:r>
      <w:r w:rsidR="00F91007">
        <w:t>,</w:t>
      </w:r>
      <w:r w:rsidR="006550CC">
        <w:t>30</w:t>
      </w:r>
      <w:r w:rsidR="00F91007">
        <w:t xml:space="preserve"> %)</w:t>
      </w:r>
      <w:r>
        <w:t>.</w:t>
      </w:r>
    </w:p>
    <w:p w:rsidR="0055368E" w:rsidRDefault="0055368E" w:rsidP="00D934F9">
      <w:pPr>
        <w:spacing w:after="0" w:line="360" w:lineRule="auto"/>
        <w:jc w:val="both"/>
      </w:pPr>
      <w:r>
        <w:t>Ειδικότερα</w:t>
      </w:r>
      <w:r w:rsidR="00777F23">
        <w:t xml:space="preserve"> ανά κατηγορία δαπάνης </w:t>
      </w:r>
      <w:r w:rsidR="00F05C25">
        <w:t>και όσον αφορά</w:t>
      </w:r>
      <w:r w:rsidR="00344814">
        <w:t>,</w:t>
      </w:r>
      <w:r w:rsidR="00F05C25">
        <w:t xml:space="preserve"> τ</w:t>
      </w:r>
      <w:r w:rsidR="00344814">
        <w:t xml:space="preserve">α αποτελέσματα του τριμήνου σχετικά με το ύψος των τιμολογημένων δαπανών την αντίστοιχη </w:t>
      </w:r>
      <w:proofErr w:type="spellStart"/>
      <w:r w:rsidR="00344814">
        <w:t>ενταλματοποίηση</w:t>
      </w:r>
      <w:proofErr w:type="spellEnd"/>
      <w:r w:rsidR="00344814">
        <w:t xml:space="preserve"> αυτών, την πληρωμής τους αλλά και την σχέση των πληρωθέντων και των στόχων που έχουν τεθεί για το τρίμηνο στον πίνακα στοχοθεσίας, αποτυπώνονται στον παρακάτω πίνακα </w:t>
      </w:r>
      <w:r w:rsidR="00777F23">
        <w:t>:</w:t>
      </w:r>
    </w:p>
    <w:p w:rsidR="00777F23" w:rsidRDefault="00777F23" w:rsidP="00D934F9">
      <w:pPr>
        <w:spacing w:after="0" w:line="360" w:lineRule="auto"/>
        <w:jc w:val="both"/>
        <w:sectPr w:rsidR="00777F23" w:rsidSect="00B64E4A">
          <w:pgSz w:w="11906" w:h="16838"/>
          <w:pgMar w:top="1440" w:right="1797" w:bottom="1440" w:left="1797" w:header="709" w:footer="0" w:gutter="0"/>
          <w:cols w:space="708"/>
          <w:docGrid w:linePitch="360"/>
        </w:sectPr>
      </w:pPr>
    </w:p>
    <w:tbl>
      <w:tblPr>
        <w:tblW w:w="15527" w:type="dxa"/>
        <w:tblInd w:w="-601" w:type="dxa"/>
        <w:tblLook w:val="04A0"/>
      </w:tblPr>
      <w:tblGrid>
        <w:gridCol w:w="567"/>
        <w:gridCol w:w="2836"/>
        <w:gridCol w:w="1556"/>
        <w:gridCol w:w="1389"/>
        <w:gridCol w:w="1389"/>
        <w:gridCol w:w="1389"/>
        <w:gridCol w:w="1389"/>
        <w:gridCol w:w="1389"/>
        <w:gridCol w:w="1422"/>
        <w:gridCol w:w="997"/>
        <w:gridCol w:w="1204"/>
      </w:tblGrid>
      <w:tr w:rsidR="0063759A" w:rsidRPr="0063759A" w:rsidTr="0063759A">
        <w:trPr>
          <w:trHeight w:val="300"/>
        </w:trPr>
        <w:tc>
          <w:tcPr>
            <w:tcW w:w="567"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Κ.Α.</w:t>
            </w:r>
          </w:p>
        </w:tc>
        <w:tc>
          <w:tcPr>
            <w:tcW w:w="2836"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Ανακεφαλαίωση εξόδων</w:t>
            </w:r>
          </w:p>
        </w:tc>
        <w:tc>
          <w:tcPr>
            <w:tcW w:w="1556"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proofErr w:type="spellStart"/>
            <w:r w:rsidRPr="0063759A">
              <w:rPr>
                <w:rFonts w:eastAsia="Times New Roman" w:cs="Calibri"/>
                <w:b/>
                <w:bCs/>
                <w:color w:val="FFFFFF"/>
                <w:sz w:val="18"/>
                <w:szCs w:val="18"/>
                <w:lang w:eastAsia="el-GR"/>
              </w:rPr>
              <w:t>Προϋπ</w:t>
            </w:r>
            <w:proofErr w:type="spellEnd"/>
            <w:r w:rsidRPr="0063759A">
              <w:rPr>
                <w:rFonts w:eastAsia="Times New Roman" w:cs="Calibri"/>
                <w:b/>
                <w:bCs/>
                <w:color w:val="FFFFFF"/>
                <w:sz w:val="18"/>
                <w:szCs w:val="18"/>
                <w:lang w:eastAsia="el-GR"/>
              </w:rPr>
              <w:t>/</w:t>
            </w:r>
            <w:proofErr w:type="spellStart"/>
            <w:r w:rsidRPr="0063759A">
              <w:rPr>
                <w:rFonts w:eastAsia="Times New Roman" w:cs="Calibri"/>
                <w:b/>
                <w:bCs/>
                <w:color w:val="FFFFFF"/>
                <w:sz w:val="18"/>
                <w:szCs w:val="18"/>
                <w:lang w:eastAsia="el-GR"/>
              </w:rPr>
              <w:t>σμός</w:t>
            </w:r>
            <w:proofErr w:type="spellEnd"/>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Δεσμευθέντα</w:t>
            </w:r>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proofErr w:type="spellStart"/>
            <w:r w:rsidRPr="0063759A">
              <w:rPr>
                <w:rFonts w:eastAsia="Times New Roman" w:cs="Calibri"/>
                <w:b/>
                <w:bCs/>
                <w:color w:val="FFFFFF"/>
                <w:sz w:val="18"/>
                <w:szCs w:val="18"/>
                <w:lang w:eastAsia="el-GR"/>
              </w:rPr>
              <w:t>Εντ</w:t>
            </w:r>
            <w:proofErr w:type="spellEnd"/>
            <w:r w:rsidRPr="0063759A">
              <w:rPr>
                <w:rFonts w:eastAsia="Times New Roman" w:cs="Calibri"/>
                <w:b/>
                <w:bCs/>
                <w:color w:val="FFFFFF"/>
                <w:sz w:val="18"/>
                <w:szCs w:val="18"/>
                <w:lang w:eastAsia="el-GR"/>
              </w:rPr>
              <w:t>/</w:t>
            </w:r>
            <w:proofErr w:type="spellStart"/>
            <w:r w:rsidRPr="0063759A">
              <w:rPr>
                <w:rFonts w:eastAsia="Times New Roman" w:cs="Calibri"/>
                <w:b/>
                <w:bCs/>
                <w:color w:val="FFFFFF"/>
                <w:sz w:val="18"/>
                <w:szCs w:val="18"/>
                <w:lang w:eastAsia="el-GR"/>
              </w:rPr>
              <w:t>θέντα</w:t>
            </w:r>
            <w:proofErr w:type="spellEnd"/>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proofErr w:type="spellStart"/>
            <w:r w:rsidRPr="0063759A">
              <w:rPr>
                <w:rFonts w:eastAsia="Times New Roman" w:cs="Calibri"/>
                <w:b/>
                <w:bCs/>
                <w:color w:val="FFFFFF"/>
                <w:sz w:val="18"/>
                <w:szCs w:val="18"/>
                <w:lang w:eastAsia="el-GR"/>
              </w:rPr>
              <w:t>Τιμολ</w:t>
            </w:r>
            <w:proofErr w:type="spellEnd"/>
            <w:r w:rsidRPr="0063759A">
              <w:rPr>
                <w:rFonts w:eastAsia="Times New Roman" w:cs="Calibri"/>
                <w:b/>
                <w:bCs/>
                <w:color w:val="FFFFFF"/>
                <w:sz w:val="18"/>
                <w:szCs w:val="18"/>
                <w:lang w:eastAsia="el-GR"/>
              </w:rPr>
              <w:t>/</w:t>
            </w:r>
            <w:proofErr w:type="spellStart"/>
            <w:r w:rsidRPr="0063759A">
              <w:rPr>
                <w:rFonts w:eastAsia="Times New Roman" w:cs="Calibri"/>
                <w:b/>
                <w:bCs/>
                <w:color w:val="FFFFFF"/>
                <w:sz w:val="18"/>
                <w:szCs w:val="18"/>
                <w:lang w:eastAsia="el-GR"/>
              </w:rPr>
              <w:t>θέντα</w:t>
            </w:r>
            <w:proofErr w:type="spellEnd"/>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Πληρωθέντα</w:t>
            </w:r>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Στόχος</w:t>
            </w:r>
          </w:p>
        </w:tc>
        <w:tc>
          <w:tcPr>
            <w:tcW w:w="1422"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Στόχος- Πληρωμές</w:t>
            </w:r>
          </w:p>
        </w:tc>
        <w:tc>
          <w:tcPr>
            <w:tcW w:w="997"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Στόχος- Πληρωμές %</w:t>
            </w:r>
          </w:p>
        </w:tc>
        <w:tc>
          <w:tcPr>
            <w:tcW w:w="1204"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Απλήρωτες Υποχρεώσεις</w:t>
            </w: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60</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Αμοιβές και έξοδα προσωπικού</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7.235.769,51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6.736.109,74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3.170.916,53</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3.170.916,53</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2.885.176,84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3.498.000,00</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-612.823,16</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-17,52%</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285.739,69</w:t>
            </w:r>
          </w:p>
        </w:tc>
      </w:tr>
      <w:tr w:rsidR="0063759A" w:rsidRPr="0063759A" w:rsidTr="0063759A">
        <w:trPr>
          <w:trHeight w:val="227"/>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65</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Πληρωμές για την εξυπηρέτηση δημοσίας πίστεως</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469.065,55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469.065,55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254.388,64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254.388,64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254.388,64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234.600,00</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2.580,36</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1,10%</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0,00</w:t>
            </w:r>
          </w:p>
        </w:tc>
      </w:tr>
      <w:tr w:rsidR="0063759A" w:rsidRPr="0063759A" w:rsidTr="0063759A">
        <w:trPr>
          <w:trHeight w:val="227"/>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61</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Αμοιβές αιρετών και τρίτων</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916.682,32</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581.712,12</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207.727,17</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213.202,50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180.925,27</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32.277,23</w:t>
            </w:r>
          </w:p>
        </w:tc>
      </w:tr>
      <w:tr w:rsidR="0063759A" w:rsidRPr="0063759A" w:rsidTr="0063759A">
        <w:trPr>
          <w:trHeight w:val="300"/>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62</w:t>
            </w: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Παροχές τρίτων</w:t>
            </w: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2.291.165,07</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1.860.887,85</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770.215,11</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803.438,21</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746.748,85</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56.689,36</w:t>
            </w: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63</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Φόροι - τέλη</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30.600,00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22.600,00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6.631,54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6.631,54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6.631,54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0,00</w:t>
            </w:r>
          </w:p>
        </w:tc>
      </w:tr>
      <w:tr w:rsidR="0063759A" w:rsidRPr="0063759A" w:rsidTr="0063759A">
        <w:trPr>
          <w:trHeight w:val="300"/>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64</w:t>
            </w: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Λοιπά Γενικά έξοδα</w:t>
            </w: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1.020.949,35</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679.404,53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232.980,46</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252.023,25</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210.532,19</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41.491,06</w:t>
            </w: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66</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Δαπάνες προμήθειας αναλωσίμων</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1.209.062,26</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623.127,77</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182.561,15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212.079,15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149.914,05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62.165,10</w:t>
            </w:r>
          </w:p>
        </w:tc>
      </w:tr>
      <w:tr w:rsidR="0063759A" w:rsidRPr="0063759A" w:rsidTr="0063759A">
        <w:trPr>
          <w:trHeight w:val="300"/>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68</w:t>
            </w: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Λοιπά Έξοδα</w:t>
            </w: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85.218,00</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80.828,86</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77.453,44</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77.453,44</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75.942,53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1.510,91</w:t>
            </w: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Σύνολο Λειτουργικών Δαπανών</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5.553.677,00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3.848.561,13</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1.477.568,87</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1.564.828,09</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1.370.694,43</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2.359.800,00</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-989.105,57</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-41,91%</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194.133,66</w:t>
            </w:r>
          </w:p>
        </w:tc>
      </w:tr>
      <w:tr w:rsidR="0063759A" w:rsidRPr="0063759A" w:rsidTr="0063759A">
        <w:trPr>
          <w:trHeight w:val="227"/>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67</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Πληρωμές - Μεταβιβάσεις σε τρίτους</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6.519.448,95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6.485.838,98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2.773.007,08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2.788.007,08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2.611.607,08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3.210.300,00</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176.400,00</w:t>
            </w:r>
          </w:p>
        </w:tc>
      </w:tr>
      <w:tr w:rsidR="0063759A" w:rsidRPr="0063759A" w:rsidTr="0063759A">
        <w:trPr>
          <w:trHeight w:val="300"/>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674</w:t>
            </w: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Προνοιακά</w:t>
            </w: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28.746.267,15</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14.663.962,53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14.663.962,53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14.663.962,53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14.663.962,53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14.373.000,00</w:t>
            </w: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290.962,53</w:t>
            </w: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2,02%</w:t>
            </w: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0,00</w:t>
            </w: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67</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Μεταβιβάσεις σε τρίτους εκτός προνοιακών</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35.265.716,10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21.149.801,51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17.436.969,61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17.451.969,61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17.275.569,61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17.583.300,00</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-307.730,39</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-1,75%</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176.400,00</w:t>
            </w:r>
          </w:p>
        </w:tc>
      </w:tr>
      <w:tr w:rsidR="0063759A" w:rsidRPr="0063759A" w:rsidTr="0063759A">
        <w:trPr>
          <w:trHeight w:val="227"/>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71</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Αγορές κτιρίων, τεχνικών έργων και προμήθειες παγίων</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3.183.978,08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276.100,65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238.998,48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240.922,20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238.998,48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1.923,72</w:t>
            </w:r>
          </w:p>
        </w:tc>
      </w:tr>
      <w:tr w:rsidR="0063759A" w:rsidRPr="0063759A" w:rsidTr="0063759A">
        <w:trPr>
          <w:trHeight w:val="300"/>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73</w:t>
            </w: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Έργα</w:t>
            </w: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4.225.638,31</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2.791.417,13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154.545,87</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260.062,44</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154.545,87</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105.516,57</w:t>
            </w: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74</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Μελέτες, έρευνες, πειραματικές εργασίες κλπ</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590.751,31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407.438,35</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203.075,01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294.783,81</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190.044,16</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r w:rsidRPr="0063759A">
              <w:rPr>
                <w:rFonts w:eastAsia="Times New Roman" w:cs="Calibri"/>
                <w:color w:val="000000"/>
                <w:sz w:val="18"/>
                <w:szCs w:val="18"/>
                <w:lang w:eastAsia="el-GR"/>
              </w:rPr>
              <w:t> </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color w:val="000000"/>
                <w:sz w:val="18"/>
                <w:szCs w:val="18"/>
                <w:lang w:eastAsia="el-GR"/>
              </w:rPr>
            </w:pPr>
            <w:r w:rsidRPr="0063759A">
              <w:rPr>
                <w:rFonts w:eastAsia="Times New Roman" w:cs="Calibri"/>
                <w:color w:val="000000"/>
                <w:sz w:val="18"/>
                <w:szCs w:val="18"/>
                <w:lang w:eastAsia="el-GR"/>
              </w:rPr>
              <w:t>104.739,65</w:t>
            </w:r>
          </w:p>
        </w:tc>
      </w:tr>
      <w:tr w:rsidR="0063759A" w:rsidRPr="0063759A" w:rsidTr="0063759A">
        <w:trPr>
          <w:trHeight w:val="300"/>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7</w:t>
            </w: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 xml:space="preserve">Σύνολο Επενδύσεων </w:t>
            </w: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8.000.367,70</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3.474.956,13</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596.619,36</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795.768,45</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583.588,51</w:t>
            </w: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3.918.000,00</w:t>
            </w: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-3.334.411,49</w:t>
            </w: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-85,10%</w:t>
            </w: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212.179,94</w:t>
            </w:r>
          </w:p>
        </w:tc>
      </w:tr>
      <w:tr w:rsidR="0063759A" w:rsidRPr="0063759A" w:rsidTr="0063759A">
        <w:trPr>
          <w:trHeight w:val="227"/>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81</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Πληρωμές Π.Ο.Ε.</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1.606.553,48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1.606.553,48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942.869,02</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1.606.242,88</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930.762,94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1.120.815,00</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-190.052,06</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-16,96%</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675.479,94</w:t>
            </w:r>
          </w:p>
        </w:tc>
      </w:tr>
      <w:tr w:rsidR="0063759A" w:rsidRPr="0063759A" w:rsidTr="0063759A">
        <w:trPr>
          <w:trHeight w:val="227"/>
        </w:trPr>
        <w:tc>
          <w:tcPr>
            <w:tcW w:w="56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283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556"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389"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422"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997"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c>
          <w:tcPr>
            <w:tcW w:w="1204" w:type="dxa"/>
            <w:tcBorders>
              <w:top w:val="nil"/>
              <w:left w:val="nil"/>
              <w:bottom w:val="nil"/>
              <w:right w:val="nil"/>
            </w:tcBorders>
            <w:shd w:val="clear" w:color="auto" w:fill="auto"/>
            <w:noWrap/>
            <w:vAlign w:val="bottom"/>
            <w:hideMark/>
          </w:tcPr>
          <w:p w:rsidR="0063759A" w:rsidRPr="0063759A" w:rsidRDefault="0063759A" w:rsidP="0063759A">
            <w:pPr>
              <w:spacing w:after="0" w:line="240" w:lineRule="auto"/>
              <w:rPr>
                <w:rFonts w:eastAsia="Times New Roman" w:cs="Calibri"/>
                <w:color w:val="000000"/>
                <w:sz w:val="18"/>
                <w:szCs w:val="18"/>
                <w:lang w:eastAsia="el-GR"/>
              </w:rPr>
            </w:pPr>
          </w:p>
        </w:tc>
      </w:tr>
      <w:tr w:rsidR="0063759A" w:rsidRPr="0063759A" w:rsidTr="0063759A">
        <w:trPr>
          <w:trHeight w:val="300"/>
        </w:trPr>
        <w:tc>
          <w:tcPr>
            <w:tcW w:w="56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82</w:t>
            </w:r>
          </w:p>
        </w:tc>
        <w:tc>
          <w:tcPr>
            <w:tcW w:w="283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Αποδόσεις</w:t>
            </w:r>
          </w:p>
        </w:tc>
        <w:tc>
          <w:tcPr>
            <w:tcW w:w="1556"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3.463.000,00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1.285.551,74</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1.283.156,50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1.283.156,50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1.281.115,70</w:t>
            </w:r>
          </w:p>
        </w:tc>
        <w:tc>
          <w:tcPr>
            <w:tcW w:w="1389"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1.730.000,00</w:t>
            </w:r>
          </w:p>
        </w:tc>
        <w:tc>
          <w:tcPr>
            <w:tcW w:w="1422"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-448.884,30</w:t>
            </w:r>
          </w:p>
        </w:tc>
        <w:tc>
          <w:tcPr>
            <w:tcW w:w="997"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-25,95%</w:t>
            </w:r>
          </w:p>
        </w:tc>
        <w:tc>
          <w:tcPr>
            <w:tcW w:w="1204" w:type="dxa"/>
            <w:tcBorders>
              <w:top w:val="nil"/>
              <w:left w:val="nil"/>
              <w:bottom w:val="nil"/>
              <w:right w:val="nil"/>
            </w:tcBorders>
            <w:shd w:val="clear" w:color="000000" w:fill="DBEEF3"/>
            <w:noWrap/>
            <w:vAlign w:val="bottom"/>
            <w:hideMark/>
          </w:tcPr>
          <w:p w:rsidR="0063759A" w:rsidRPr="0063759A" w:rsidRDefault="0063759A" w:rsidP="0063759A">
            <w:pPr>
              <w:spacing w:after="0" w:line="240" w:lineRule="auto"/>
              <w:jc w:val="center"/>
              <w:rPr>
                <w:rFonts w:eastAsia="Times New Roman" w:cs="Calibri"/>
                <w:b/>
                <w:bCs/>
                <w:color w:val="000000"/>
                <w:sz w:val="18"/>
                <w:szCs w:val="18"/>
                <w:lang w:eastAsia="el-GR"/>
              </w:rPr>
            </w:pPr>
            <w:r w:rsidRPr="0063759A">
              <w:rPr>
                <w:rFonts w:eastAsia="Times New Roman" w:cs="Calibri"/>
                <w:b/>
                <w:bCs/>
                <w:color w:val="000000"/>
                <w:sz w:val="18"/>
                <w:szCs w:val="18"/>
                <w:lang w:eastAsia="el-GR"/>
              </w:rPr>
              <w:t>2.040,80</w:t>
            </w:r>
          </w:p>
        </w:tc>
      </w:tr>
      <w:tr w:rsidR="0063759A" w:rsidRPr="0063759A" w:rsidTr="0063759A">
        <w:trPr>
          <w:trHeight w:val="300"/>
        </w:trPr>
        <w:tc>
          <w:tcPr>
            <w:tcW w:w="567"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 </w:t>
            </w:r>
          </w:p>
        </w:tc>
        <w:tc>
          <w:tcPr>
            <w:tcW w:w="2836"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Σύνολα δαπανών</w:t>
            </w:r>
          </w:p>
        </w:tc>
        <w:tc>
          <w:tcPr>
            <w:tcW w:w="1556"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61.594.149,34</w:t>
            </w:r>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38.570.599,28</w:t>
            </w:r>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25.162.488,53</w:t>
            </w:r>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26.127.270,70</w:t>
            </w:r>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24.581.296,67</w:t>
            </w:r>
          </w:p>
        </w:tc>
        <w:tc>
          <w:tcPr>
            <w:tcW w:w="1389"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30.444.515,00</w:t>
            </w:r>
          </w:p>
        </w:tc>
        <w:tc>
          <w:tcPr>
            <w:tcW w:w="1422"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-5.863.218,33</w:t>
            </w:r>
          </w:p>
        </w:tc>
        <w:tc>
          <w:tcPr>
            <w:tcW w:w="997"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-19,26%</w:t>
            </w:r>
          </w:p>
        </w:tc>
        <w:tc>
          <w:tcPr>
            <w:tcW w:w="1204" w:type="dxa"/>
            <w:tcBorders>
              <w:top w:val="nil"/>
              <w:left w:val="nil"/>
              <w:bottom w:val="nil"/>
              <w:right w:val="nil"/>
            </w:tcBorders>
            <w:shd w:val="clear" w:color="000000" w:fill="4BACC6"/>
            <w:noWrap/>
            <w:vAlign w:val="bottom"/>
            <w:hideMark/>
          </w:tcPr>
          <w:p w:rsidR="0063759A" w:rsidRPr="0063759A" w:rsidRDefault="0063759A" w:rsidP="0063759A">
            <w:pPr>
              <w:spacing w:after="0" w:line="240" w:lineRule="auto"/>
              <w:jc w:val="center"/>
              <w:rPr>
                <w:rFonts w:eastAsia="Times New Roman" w:cs="Calibri"/>
                <w:b/>
                <w:bCs/>
                <w:color w:val="FFFFFF"/>
                <w:sz w:val="18"/>
                <w:szCs w:val="18"/>
                <w:lang w:eastAsia="el-GR"/>
              </w:rPr>
            </w:pPr>
            <w:r w:rsidRPr="0063759A">
              <w:rPr>
                <w:rFonts w:eastAsia="Times New Roman" w:cs="Calibri"/>
                <w:b/>
                <w:bCs/>
                <w:color w:val="FFFFFF"/>
                <w:sz w:val="18"/>
                <w:szCs w:val="18"/>
                <w:lang w:eastAsia="el-GR"/>
              </w:rPr>
              <w:t>1.545.974</w:t>
            </w:r>
          </w:p>
        </w:tc>
      </w:tr>
    </w:tbl>
    <w:p w:rsidR="00D934F9" w:rsidRDefault="00D934F9" w:rsidP="000C3D7C">
      <w:pPr>
        <w:spacing w:after="0" w:line="360" w:lineRule="auto"/>
        <w:jc w:val="both"/>
        <w:sectPr w:rsidR="00D934F9" w:rsidSect="00B64E4A">
          <w:pgSz w:w="16838" w:h="11906" w:orient="landscape"/>
          <w:pgMar w:top="851" w:right="1440" w:bottom="709" w:left="1440" w:header="709" w:footer="0" w:gutter="0"/>
          <w:cols w:space="708"/>
          <w:docGrid w:linePitch="360"/>
        </w:sectPr>
      </w:pPr>
    </w:p>
    <w:p w:rsidR="00D934F9" w:rsidRDefault="00D934F9" w:rsidP="00D934F9">
      <w:pPr>
        <w:spacing w:after="0" w:line="360" w:lineRule="auto"/>
        <w:jc w:val="both"/>
      </w:pPr>
      <w:r>
        <w:t xml:space="preserve">Σύμφωνα με τον ανωτέρω πίνακα, η απόκλιση των </w:t>
      </w:r>
      <w:r w:rsidR="0063759A" w:rsidRPr="0063759A">
        <w:t>5.863.218</w:t>
      </w:r>
      <w:r w:rsidR="0063759A">
        <w:t xml:space="preserve"> </w:t>
      </w:r>
      <w:r w:rsidR="001C1EE0">
        <w:t>€ (</w:t>
      </w:r>
      <w:r w:rsidR="005B28EF" w:rsidRPr="005B28EF">
        <w:t>-</w:t>
      </w:r>
      <w:r w:rsidR="0063759A" w:rsidRPr="0063759A">
        <w:t>19,26</w:t>
      </w:r>
      <w:r w:rsidR="005B28EF" w:rsidRPr="005B28EF">
        <w:t>%</w:t>
      </w:r>
      <w:r w:rsidR="001C1EE0">
        <w:t xml:space="preserve">), </w:t>
      </w:r>
      <w:r w:rsidR="005B28EF">
        <w:t xml:space="preserve"> μεταξύ στόχου και πληρωμών</w:t>
      </w:r>
      <w:r>
        <w:t>, οφείλεται κατά κύριο λόγο στην πορεία εκτέλεσης δαπανών στις κατηγορίες που αφορούν:</w:t>
      </w:r>
    </w:p>
    <w:p w:rsidR="00202F2B" w:rsidRDefault="005D0C59" w:rsidP="00D934F9">
      <w:pPr>
        <w:pStyle w:val="a3"/>
        <w:numPr>
          <w:ilvl w:val="0"/>
          <w:numId w:val="4"/>
        </w:numPr>
        <w:spacing w:after="0" w:line="360" w:lineRule="auto"/>
        <w:jc w:val="both"/>
      </w:pPr>
      <w:r>
        <w:t xml:space="preserve">Στις αποδοχές (Στόχος: </w:t>
      </w:r>
      <w:r w:rsidR="00310911" w:rsidRPr="00310911">
        <w:t>3.498.000</w:t>
      </w:r>
      <w:r>
        <w:t xml:space="preserve"> € - τιμολογημένα: </w:t>
      </w:r>
      <w:r w:rsidR="00310911" w:rsidRPr="00310911">
        <w:t>3.170.916</w:t>
      </w:r>
      <w:r w:rsidR="00310911">
        <w:t xml:space="preserve"> </w:t>
      </w:r>
      <w:r>
        <w:t xml:space="preserve">€ - Πληρωμές: </w:t>
      </w:r>
      <w:r w:rsidR="00310911" w:rsidRPr="00310911">
        <w:t>2.885.176</w:t>
      </w:r>
      <w:r>
        <w:t xml:space="preserve"> €)</w:t>
      </w:r>
      <w:r w:rsidR="00202F2B">
        <w:t xml:space="preserve"> </w:t>
      </w:r>
    </w:p>
    <w:p w:rsidR="005D0C59" w:rsidRDefault="00202F2B" w:rsidP="00D934F9">
      <w:pPr>
        <w:pStyle w:val="a3"/>
        <w:numPr>
          <w:ilvl w:val="0"/>
          <w:numId w:val="4"/>
        </w:numPr>
        <w:spacing w:after="0" w:line="360" w:lineRule="auto"/>
        <w:jc w:val="both"/>
      </w:pPr>
      <w:r>
        <w:t xml:space="preserve">το σύνολο των λειτουργικών δαπανών </w:t>
      </w:r>
      <w:r w:rsidRPr="00CE17AD">
        <w:t xml:space="preserve">(Στόχος: </w:t>
      </w:r>
      <w:r w:rsidR="00267DA1" w:rsidRPr="00267DA1">
        <w:t>2.359.800</w:t>
      </w:r>
      <w:r w:rsidRPr="00CE17AD">
        <w:t xml:space="preserve"> € - τιμολογημένα: </w:t>
      </w:r>
      <w:r w:rsidR="00267DA1">
        <w:t>1.564.828</w:t>
      </w:r>
      <w:r>
        <w:t xml:space="preserve"> </w:t>
      </w:r>
      <w:r w:rsidRPr="00CE17AD">
        <w:t xml:space="preserve">€ - Πληρωμές: </w:t>
      </w:r>
      <w:r w:rsidR="00267DA1">
        <w:t>1.370.694</w:t>
      </w:r>
      <w:r w:rsidRPr="00CE17AD">
        <w:t xml:space="preserve"> €)</w:t>
      </w:r>
    </w:p>
    <w:p w:rsidR="00202F2B" w:rsidRDefault="00202F2B" w:rsidP="00D934F9">
      <w:pPr>
        <w:pStyle w:val="a3"/>
        <w:numPr>
          <w:ilvl w:val="0"/>
          <w:numId w:val="4"/>
        </w:numPr>
        <w:spacing w:after="0" w:line="360" w:lineRule="auto"/>
        <w:jc w:val="both"/>
      </w:pPr>
      <w:r>
        <w:t>τις μεταβιβάσεις σε τρίτους (</w:t>
      </w:r>
      <w:r w:rsidRPr="00202F2B">
        <w:t>Νομικά Πρόσωπα – Σχολικές Επιτροπές του Δήμου οικονομικά αδυνάτους – Πολιτιστικούς Συλλόγους και Αθλητικά σωματεία</w:t>
      </w:r>
      <w:r>
        <w:t xml:space="preserve">, εισφορές σε Συνδέσμους) (Στόχος: </w:t>
      </w:r>
      <w:r w:rsidR="00796A0C">
        <w:t>3.210.300</w:t>
      </w:r>
      <w:r>
        <w:t xml:space="preserve"> € - τιμολογημένα: </w:t>
      </w:r>
      <w:r w:rsidR="00796A0C">
        <w:t>2.788.007</w:t>
      </w:r>
      <w:r w:rsidRPr="005D0C59">
        <w:t xml:space="preserve"> </w:t>
      </w:r>
      <w:r>
        <w:t xml:space="preserve"> € - Πληρωμές: </w:t>
      </w:r>
      <w:r w:rsidR="00796A0C">
        <w:t>2.611.607</w:t>
      </w:r>
      <w:r>
        <w:t xml:space="preserve"> €)</w:t>
      </w:r>
    </w:p>
    <w:p w:rsidR="00D934F9" w:rsidRDefault="00D934F9" w:rsidP="00202F2B">
      <w:pPr>
        <w:pStyle w:val="a3"/>
        <w:numPr>
          <w:ilvl w:val="0"/>
          <w:numId w:val="4"/>
        </w:numPr>
        <w:spacing w:after="0" w:line="360" w:lineRule="auto"/>
        <w:jc w:val="both"/>
      </w:pPr>
      <w:r>
        <w:t xml:space="preserve">τις επενδύσεις (Στόχος: </w:t>
      </w:r>
      <w:r w:rsidR="00796A0C">
        <w:t>3.918.000</w:t>
      </w:r>
      <w:r>
        <w:t xml:space="preserve"> € -</w:t>
      </w:r>
      <w:r w:rsidR="00670A9E">
        <w:t xml:space="preserve"> </w:t>
      </w:r>
      <w:r>
        <w:t xml:space="preserve">τιμολογημένα: </w:t>
      </w:r>
      <w:r w:rsidR="00796A0C" w:rsidRPr="00796A0C">
        <w:t>795.768,45</w:t>
      </w:r>
      <w:r w:rsidR="005D0C59" w:rsidRPr="005D0C59">
        <w:t xml:space="preserve"> </w:t>
      </w:r>
      <w:r>
        <w:t xml:space="preserve"> € - Πληρωμές: </w:t>
      </w:r>
      <w:r w:rsidR="00796A0C">
        <w:t>583.588</w:t>
      </w:r>
      <w:r>
        <w:t xml:space="preserve"> €)</w:t>
      </w:r>
      <w:r w:rsidR="00202F2B">
        <w:t xml:space="preserve"> </w:t>
      </w:r>
      <w:r>
        <w:t xml:space="preserve">και </w:t>
      </w:r>
    </w:p>
    <w:p w:rsidR="00D934F9" w:rsidRDefault="00D934F9" w:rsidP="00D934F9">
      <w:pPr>
        <w:pStyle w:val="a3"/>
        <w:numPr>
          <w:ilvl w:val="0"/>
          <w:numId w:val="4"/>
        </w:numPr>
        <w:spacing w:after="0" w:line="360" w:lineRule="auto"/>
        <w:jc w:val="both"/>
      </w:pPr>
      <w:r>
        <w:t xml:space="preserve">τις αποδόσεις </w:t>
      </w:r>
      <w:r w:rsidRPr="00CE17AD">
        <w:t xml:space="preserve">(Στόχος: </w:t>
      </w:r>
      <w:r w:rsidR="006550CC">
        <w:t>1.730.000</w:t>
      </w:r>
      <w:r w:rsidRPr="00CE17AD">
        <w:t xml:space="preserve"> € - τιμολογημένα: </w:t>
      </w:r>
      <w:r w:rsidR="006550CC">
        <w:t>1.283.156</w:t>
      </w:r>
      <w:r>
        <w:t xml:space="preserve"> </w:t>
      </w:r>
      <w:r w:rsidRPr="00CE17AD">
        <w:t xml:space="preserve">€ - Πληρωμές: </w:t>
      </w:r>
      <w:r w:rsidR="006550CC">
        <w:t>1.281.115</w:t>
      </w:r>
      <w:r w:rsidRPr="00CE17AD">
        <w:t xml:space="preserve"> €)</w:t>
      </w:r>
    </w:p>
    <w:p w:rsidR="00202F2B" w:rsidRDefault="00202F2B" w:rsidP="00202F2B">
      <w:pPr>
        <w:pStyle w:val="a3"/>
        <w:spacing w:after="0" w:line="360" w:lineRule="auto"/>
        <w:jc w:val="both"/>
      </w:pPr>
    </w:p>
    <w:p w:rsidR="00D934F9" w:rsidRDefault="00D934F9" w:rsidP="00D934F9">
      <w:pPr>
        <w:spacing w:after="0" w:line="360" w:lineRule="auto"/>
        <w:jc w:val="both"/>
      </w:pPr>
      <w:r>
        <w:t xml:space="preserve">Επιπλέον το ίδιο χρονικό διάστημα </w:t>
      </w:r>
      <w:r w:rsidR="006550CC">
        <w:t>μειώ</w:t>
      </w:r>
      <w:r>
        <w:t xml:space="preserve">θηκαν οι απλήρωτες υποχρεώσεις, σε σχέση με αυτές </w:t>
      </w:r>
      <w:r w:rsidR="00475076">
        <w:t xml:space="preserve">που έχουν τεθεί ως στόχος </w:t>
      </w:r>
      <w:r>
        <w:t xml:space="preserve">την </w:t>
      </w:r>
      <w:r w:rsidR="006550CC">
        <w:t>30</w:t>
      </w:r>
      <w:r>
        <w:t>/</w:t>
      </w:r>
      <w:r w:rsidR="006550CC">
        <w:t>6</w:t>
      </w:r>
      <w:r>
        <w:t>/1</w:t>
      </w:r>
      <w:r w:rsidR="00475076">
        <w:t>5</w:t>
      </w:r>
      <w:r>
        <w:t xml:space="preserve"> κατά </w:t>
      </w:r>
      <w:r w:rsidR="006550CC" w:rsidRPr="006550CC">
        <w:t>104.026</w:t>
      </w:r>
      <w:r>
        <w:t xml:space="preserve"> € </w:t>
      </w:r>
      <w:r w:rsidR="000E4333">
        <w:t xml:space="preserve">και διαμορφώθηκαν τελικά στο ποσό των </w:t>
      </w:r>
      <w:r w:rsidR="006550CC" w:rsidRPr="006550CC">
        <w:t>1.545.974</w:t>
      </w:r>
      <w:r w:rsidR="00475076">
        <w:t xml:space="preserve"> </w:t>
      </w:r>
      <w:r w:rsidR="000E4333">
        <w:t>€.</w:t>
      </w:r>
      <w:r w:rsidR="000E4333" w:rsidRPr="000E4333">
        <w:t xml:space="preserve"> </w:t>
      </w:r>
      <w:r>
        <w:t>(</w:t>
      </w:r>
      <w:r w:rsidR="00475076">
        <w:t>Στόχος 3</w:t>
      </w:r>
      <w:r w:rsidR="006550CC">
        <w:t>0</w:t>
      </w:r>
      <w:r w:rsidR="00475076">
        <w:t>/</w:t>
      </w:r>
      <w:r w:rsidR="006550CC">
        <w:t>6</w:t>
      </w:r>
      <w:r w:rsidR="00475076">
        <w:t>/2015</w:t>
      </w:r>
      <w:r>
        <w:t xml:space="preserve">: </w:t>
      </w:r>
      <w:r w:rsidR="00475076" w:rsidRPr="00475076">
        <w:t>1.6</w:t>
      </w:r>
      <w:r w:rsidR="006550CC">
        <w:t>50</w:t>
      </w:r>
      <w:r w:rsidR="00475076" w:rsidRPr="00475076">
        <w:t>.000</w:t>
      </w:r>
      <w:r>
        <w:t xml:space="preserve"> €, Απλήρωτες </w:t>
      </w:r>
      <w:r w:rsidR="00475076">
        <w:t>3</w:t>
      </w:r>
      <w:r w:rsidR="006550CC">
        <w:t>0</w:t>
      </w:r>
      <w:r w:rsidR="00475076">
        <w:t>/</w:t>
      </w:r>
      <w:r w:rsidR="006550CC">
        <w:t>6</w:t>
      </w:r>
      <w:r w:rsidR="00475076">
        <w:t>/15</w:t>
      </w:r>
      <w:r>
        <w:t xml:space="preserve">: Τιμολογημένα: </w:t>
      </w:r>
      <w:r w:rsidR="006550CC">
        <w:t>26.127.270</w:t>
      </w:r>
      <w:r>
        <w:t xml:space="preserve"> – Πληρωθέντα </w:t>
      </w:r>
      <w:r w:rsidR="006550CC">
        <w:t>24.581.296</w:t>
      </w:r>
      <w:r>
        <w:t xml:space="preserve"> = </w:t>
      </w:r>
      <w:r w:rsidR="006550CC" w:rsidRPr="006550CC">
        <w:t>1.545.974</w:t>
      </w:r>
      <w:r w:rsidR="00EF71EA" w:rsidRPr="00EF71EA">
        <w:t xml:space="preserve"> </w:t>
      </w:r>
      <w:r>
        <w:t>€).</w:t>
      </w:r>
      <w:r w:rsidR="00EF71EA">
        <w:t xml:space="preserve"> </w:t>
      </w:r>
      <w:r w:rsidR="000E4333">
        <w:t>Αναλυτικά και ανά κατηγορία δαπάνης οι απλήρωτες υποχρεώσεις έχουν ως εξής:</w:t>
      </w:r>
    </w:p>
    <w:tbl>
      <w:tblPr>
        <w:tblW w:w="7901" w:type="dxa"/>
        <w:tblInd w:w="392" w:type="dxa"/>
        <w:tblLook w:val="04A0"/>
      </w:tblPr>
      <w:tblGrid>
        <w:gridCol w:w="726"/>
        <w:gridCol w:w="2926"/>
        <w:gridCol w:w="1540"/>
        <w:gridCol w:w="1389"/>
        <w:gridCol w:w="1320"/>
      </w:tblGrid>
      <w:tr w:rsidR="001848EB" w:rsidRPr="005B28EF" w:rsidTr="001848EB">
        <w:trPr>
          <w:trHeight w:val="300"/>
        </w:trPr>
        <w:tc>
          <w:tcPr>
            <w:tcW w:w="726"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Κ.Α.</w:t>
            </w:r>
          </w:p>
        </w:tc>
        <w:tc>
          <w:tcPr>
            <w:tcW w:w="2926"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Ανακεφαλαίωση εξόδων</w:t>
            </w:r>
          </w:p>
        </w:tc>
        <w:tc>
          <w:tcPr>
            <w:tcW w:w="1540"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proofErr w:type="spellStart"/>
            <w:r w:rsidRPr="005B28EF">
              <w:rPr>
                <w:rFonts w:eastAsia="Times New Roman" w:cs="Calibri"/>
                <w:b/>
                <w:bCs/>
                <w:color w:val="FFFFFF"/>
                <w:sz w:val="20"/>
                <w:szCs w:val="20"/>
                <w:lang w:eastAsia="el-GR"/>
              </w:rPr>
              <w:t>Τιμολ</w:t>
            </w:r>
            <w:proofErr w:type="spellEnd"/>
            <w:r w:rsidRPr="005B28EF">
              <w:rPr>
                <w:rFonts w:eastAsia="Times New Roman" w:cs="Calibri"/>
                <w:b/>
                <w:bCs/>
                <w:color w:val="FFFFFF"/>
                <w:sz w:val="20"/>
                <w:szCs w:val="20"/>
                <w:lang w:eastAsia="el-GR"/>
              </w:rPr>
              <w:t>/</w:t>
            </w:r>
            <w:proofErr w:type="spellStart"/>
            <w:r w:rsidRPr="005B28EF">
              <w:rPr>
                <w:rFonts w:eastAsia="Times New Roman" w:cs="Calibri"/>
                <w:b/>
                <w:bCs/>
                <w:color w:val="FFFFFF"/>
                <w:sz w:val="20"/>
                <w:szCs w:val="20"/>
                <w:lang w:eastAsia="el-GR"/>
              </w:rPr>
              <w:t>θέντα</w:t>
            </w:r>
            <w:proofErr w:type="spellEnd"/>
          </w:p>
        </w:tc>
        <w:tc>
          <w:tcPr>
            <w:tcW w:w="1389" w:type="dxa"/>
            <w:tcBorders>
              <w:top w:val="nil"/>
              <w:left w:val="nil"/>
              <w:bottom w:val="nil"/>
              <w:right w:val="nil"/>
            </w:tcBorders>
            <w:shd w:val="clear" w:color="000000" w:fill="4BACC6"/>
            <w:noWrap/>
            <w:vAlign w:val="bottom"/>
            <w:hideMark/>
          </w:tcPr>
          <w:p w:rsidR="001848EB" w:rsidRPr="005B28EF" w:rsidRDefault="001848EB"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Πληρωθέντα</w:t>
            </w:r>
          </w:p>
        </w:tc>
        <w:tc>
          <w:tcPr>
            <w:tcW w:w="1320" w:type="dxa"/>
            <w:tcBorders>
              <w:top w:val="nil"/>
              <w:left w:val="nil"/>
              <w:bottom w:val="nil"/>
              <w:right w:val="nil"/>
            </w:tcBorders>
            <w:shd w:val="clear" w:color="000000" w:fill="4BACC6"/>
            <w:noWrap/>
            <w:vAlign w:val="bottom"/>
            <w:hideMark/>
          </w:tcPr>
          <w:p w:rsidR="001848EB" w:rsidRPr="005B28EF" w:rsidRDefault="001848EB" w:rsidP="001848EB">
            <w:pPr>
              <w:spacing w:after="0" w:line="240" w:lineRule="auto"/>
              <w:rPr>
                <w:rFonts w:eastAsia="Times New Roman" w:cs="Calibri"/>
                <w:b/>
                <w:bCs/>
                <w:color w:val="FFFFFF"/>
                <w:sz w:val="20"/>
                <w:szCs w:val="20"/>
                <w:lang w:eastAsia="el-GR"/>
              </w:rPr>
            </w:pPr>
            <w:r w:rsidRPr="005B28EF">
              <w:rPr>
                <w:rFonts w:eastAsia="Times New Roman" w:cs="Calibri"/>
                <w:b/>
                <w:bCs/>
                <w:color w:val="FFFFFF"/>
                <w:sz w:val="20"/>
                <w:szCs w:val="20"/>
                <w:lang w:eastAsia="el-GR"/>
              </w:rPr>
              <w:t>Απλήρωτες Υποχρεώσεις</w:t>
            </w:r>
          </w:p>
        </w:tc>
      </w:tr>
      <w:tr w:rsidR="006550CC" w:rsidRPr="005B28EF" w:rsidTr="006550CC">
        <w:trPr>
          <w:trHeight w:val="300"/>
        </w:trPr>
        <w:tc>
          <w:tcPr>
            <w:tcW w:w="726" w:type="dxa"/>
            <w:tcBorders>
              <w:top w:val="nil"/>
              <w:left w:val="nil"/>
              <w:bottom w:val="nil"/>
              <w:right w:val="nil"/>
            </w:tcBorders>
            <w:shd w:val="clear" w:color="000000" w:fill="DBEEF3"/>
            <w:noWrap/>
            <w:vAlign w:val="bottom"/>
            <w:hideMark/>
          </w:tcPr>
          <w:p w:rsidR="006550CC" w:rsidRPr="005B28EF" w:rsidRDefault="006550CC"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60</w:t>
            </w:r>
          </w:p>
        </w:tc>
        <w:tc>
          <w:tcPr>
            <w:tcW w:w="2926" w:type="dxa"/>
            <w:tcBorders>
              <w:top w:val="nil"/>
              <w:left w:val="nil"/>
              <w:bottom w:val="nil"/>
              <w:right w:val="nil"/>
            </w:tcBorders>
            <w:shd w:val="clear" w:color="000000" w:fill="DBEEF3"/>
            <w:noWrap/>
            <w:vAlign w:val="bottom"/>
            <w:hideMark/>
          </w:tcPr>
          <w:p w:rsidR="006550CC" w:rsidRPr="005B28EF" w:rsidRDefault="006550CC"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Αμοιβές και έξοδα προσωπικού</w:t>
            </w:r>
          </w:p>
        </w:tc>
        <w:tc>
          <w:tcPr>
            <w:tcW w:w="1540" w:type="dxa"/>
            <w:tcBorders>
              <w:top w:val="nil"/>
              <w:left w:val="nil"/>
              <w:bottom w:val="nil"/>
              <w:right w:val="nil"/>
            </w:tcBorders>
            <w:shd w:val="clear" w:color="000000" w:fill="DBEEF3"/>
            <w:noWrap/>
            <w:vAlign w:val="bottom"/>
            <w:hideMark/>
          </w:tcPr>
          <w:p w:rsidR="006550CC" w:rsidRPr="006550CC" w:rsidRDefault="006550CC" w:rsidP="006550CC">
            <w:pPr>
              <w:spacing w:after="0" w:line="240" w:lineRule="auto"/>
              <w:jc w:val="center"/>
              <w:rPr>
                <w:b/>
                <w:sz w:val="20"/>
                <w:szCs w:val="20"/>
              </w:rPr>
            </w:pPr>
            <w:r w:rsidRPr="006550CC">
              <w:rPr>
                <w:b/>
                <w:sz w:val="20"/>
                <w:szCs w:val="20"/>
              </w:rPr>
              <w:t>3.170.916</w:t>
            </w:r>
          </w:p>
        </w:tc>
        <w:tc>
          <w:tcPr>
            <w:tcW w:w="1389" w:type="dxa"/>
            <w:tcBorders>
              <w:top w:val="nil"/>
              <w:left w:val="nil"/>
              <w:bottom w:val="nil"/>
              <w:right w:val="nil"/>
            </w:tcBorders>
            <w:shd w:val="clear" w:color="000000" w:fill="DBEEF3"/>
            <w:noWrap/>
            <w:vAlign w:val="bottom"/>
            <w:hideMark/>
          </w:tcPr>
          <w:p w:rsidR="006550CC" w:rsidRPr="006550CC" w:rsidRDefault="006550CC" w:rsidP="006550CC">
            <w:pPr>
              <w:spacing w:after="0" w:line="240" w:lineRule="auto"/>
              <w:jc w:val="center"/>
              <w:rPr>
                <w:b/>
                <w:sz w:val="20"/>
                <w:szCs w:val="20"/>
              </w:rPr>
            </w:pPr>
            <w:r w:rsidRPr="006550CC">
              <w:rPr>
                <w:b/>
                <w:sz w:val="20"/>
                <w:szCs w:val="20"/>
              </w:rPr>
              <w:t>2.885.176</w:t>
            </w:r>
          </w:p>
        </w:tc>
        <w:tc>
          <w:tcPr>
            <w:tcW w:w="1320" w:type="dxa"/>
            <w:tcBorders>
              <w:top w:val="nil"/>
              <w:left w:val="nil"/>
              <w:bottom w:val="nil"/>
              <w:right w:val="nil"/>
            </w:tcBorders>
            <w:shd w:val="clear" w:color="000000" w:fill="DBEEF3"/>
            <w:noWrap/>
            <w:vAlign w:val="bottom"/>
            <w:hideMark/>
          </w:tcPr>
          <w:p w:rsidR="006550CC" w:rsidRPr="005B28EF" w:rsidRDefault="00B900A5"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E04756">
              <w:rPr>
                <w:rFonts w:eastAsia="Times New Roman" w:cs="Calibri"/>
                <w:b/>
                <w:bCs/>
                <w:color w:val="000000"/>
                <w:sz w:val="20"/>
                <w:szCs w:val="20"/>
                <w:lang w:eastAsia="el-GR"/>
              </w:rPr>
              <w:instrText xml:space="preserve"> =c2-d2 \# "#.##0" </w:instrText>
            </w:r>
            <w:r>
              <w:rPr>
                <w:rFonts w:eastAsia="Times New Roman" w:cs="Calibri"/>
                <w:b/>
                <w:bCs/>
                <w:color w:val="000000"/>
                <w:sz w:val="20"/>
                <w:szCs w:val="20"/>
                <w:lang w:eastAsia="el-GR"/>
              </w:rPr>
              <w:fldChar w:fldCharType="separate"/>
            </w:r>
            <w:r w:rsidR="00E04756">
              <w:rPr>
                <w:rFonts w:eastAsia="Times New Roman" w:cs="Calibri"/>
                <w:b/>
                <w:bCs/>
                <w:noProof/>
                <w:color w:val="000000"/>
                <w:sz w:val="20"/>
                <w:szCs w:val="20"/>
                <w:lang w:eastAsia="el-GR"/>
              </w:rPr>
              <w:t>285.740</w:t>
            </w:r>
            <w:r>
              <w:rPr>
                <w:rFonts w:eastAsia="Times New Roman" w:cs="Calibri"/>
                <w:b/>
                <w:bCs/>
                <w:color w:val="000000"/>
                <w:sz w:val="20"/>
                <w:szCs w:val="20"/>
                <w:lang w:eastAsia="el-GR"/>
              </w:rPr>
              <w:fldChar w:fldCharType="end"/>
            </w:r>
          </w:p>
        </w:tc>
      </w:tr>
      <w:tr w:rsidR="001848EB" w:rsidRPr="005B28EF" w:rsidTr="001848EB">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650C2A" w:rsidRPr="005B28EF" w:rsidTr="00650C2A">
        <w:trPr>
          <w:trHeight w:val="300"/>
        </w:trPr>
        <w:tc>
          <w:tcPr>
            <w:tcW w:w="7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65</w:t>
            </w:r>
          </w:p>
        </w:tc>
        <w:tc>
          <w:tcPr>
            <w:tcW w:w="29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Πληρωμές για την εξυπηρέτηση δημοσίας πίστεως</w:t>
            </w:r>
          </w:p>
        </w:tc>
        <w:tc>
          <w:tcPr>
            <w:tcW w:w="1540"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254.388</w:t>
            </w:r>
          </w:p>
        </w:tc>
        <w:tc>
          <w:tcPr>
            <w:tcW w:w="1389"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254.388</w:t>
            </w:r>
          </w:p>
        </w:tc>
        <w:tc>
          <w:tcPr>
            <w:tcW w:w="1320" w:type="dxa"/>
            <w:tcBorders>
              <w:top w:val="nil"/>
              <w:left w:val="nil"/>
              <w:bottom w:val="nil"/>
              <w:right w:val="nil"/>
            </w:tcBorders>
            <w:shd w:val="clear" w:color="000000" w:fill="DBEEF3"/>
            <w:noWrap/>
            <w:vAlign w:val="bottom"/>
            <w:hideMark/>
          </w:tcPr>
          <w:p w:rsidR="00650C2A" w:rsidRPr="00650C2A" w:rsidRDefault="00B900A5" w:rsidP="00650C2A">
            <w:pPr>
              <w:spacing w:after="0" w:line="240" w:lineRule="auto"/>
              <w:jc w:val="center"/>
              <w:rPr>
                <w:rFonts w:eastAsia="Times New Roman" w:cs="Calibri"/>
                <w:b/>
                <w:bCs/>
                <w:color w:val="000000"/>
                <w:sz w:val="20"/>
                <w:szCs w:val="20"/>
                <w:lang w:val="en-US" w:eastAsia="el-GR"/>
              </w:rPr>
            </w:pPr>
            <w:r>
              <w:rPr>
                <w:rFonts w:eastAsia="Times New Roman" w:cs="Calibri"/>
                <w:b/>
                <w:bCs/>
                <w:color w:val="000000"/>
                <w:sz w:val="20"/>
                <w:szCs w:val="20"/>
                <w:lang w:eastAsia="el-GR"/>
              </w:rPr>
              <w:fldChar w:fldCharType="begin"/>
            </w:r>
            <w:r w:rsidR="00650C2A">
              <w:rPr>
                <w:rFonts w:eastAsia="Times New Roman" w:cs="Calibri"/>
                <w:b/>
                <w:bCs/>
                <w:color w:val="000000"/>
                <w:sz w:val="20"/>
                <w:szCs w:val="20"/>
                <w:lang w:eastAsia="el-GR"/>
              </w:rPr>
              <w:instrText xml:space="preserve"> =c4-d4 \# "#.##0,00" </w:instrText>
            </w:r>
            <w:r>
              <w:rPr>
                <w:rFonts w:eastAsia="Times New Roman" w:cs="Calibri"/>
                <w:b/>
                <w:bCs/>
                <w:color w:val="000000"/>
                <w:sz w:val="20"/>
                <w:szCs w:val="20"/>
                <w:lang w:eastAsia="el-GR"/>
              </w:rPr>
              <w:fldChar w:fldCharType="separate"/>
            </w:r>
            <w:r w:rsidR="00650C2A">
              <w:rPr>
                <w:rFonts w:eastAsia="Times New Roman" w:cs="Calibri"/>
                <w:b/>
                <w:bCs/>
                <w:noProof/>
                <w:color w:val="000000"/>
                <w:sz w:val="20"/>
                <w:szCs w:val="20"/>
                <w:lang w:eastAsia="el-GR"/>
              </w:rPr>
              <w:t xml:space="preserve">   0,00</w:t>
            </w:r>
            <w:r>
              <w:rPr>
                <w:rFonts w:eastAsia="Times New Roman" w:cs="Calibri"/>
                <w:b/>
                <w:bCs/>
                <w:color w:val="000000"/>
                <w:sz w:val="20"/>
                <w:szCs w:val="20"/>
                <w:lang w:eastAsia="el-GR"/>
              </w:rPr>
              <w:fldChar w:fldCharType="end"/>
            </w:r>
          </w:p>
        </w:tc>
      </w:tr>
      <w:tr w:rsidR="001848EB" w:rsidRPr="005B28EF" w:rsidTr="001848EB">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650C2A" w:rsidRPr="005B28EF" w:rsidTr="00650C2A">
        <w:trPr>
          <w:trHeight w:val="300"/>
        </w:trPr>
        <w:tc>
          <w:tcPr>
            <w:tcW w:w="7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61</w:t>
            </w:r>
          </w:p>
        </w:tc>
        <w:tc>
          <w:tcPr>
            <w:tcW w:w="29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Αμοιβές αιρετών και τρίτων</w:t>
            </w:r>
          </w:p>
        </w:tc>
        <w:tc>
          <w:tcPr>
            <w:tcW w:w="1540"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213.202</w:t>
            </w:r>
          </w:p>
        </w:tc>
        <w:tc>
          <w:tcPr>
            <w:tcW w:w="1389"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180.925</w:t>
            </w:r>
          </w:p>
        </w:tc>
        <w:tc>
          <w:tcPr>
            <w:tcW w:w="1320" w:type="dxa"/>
            <w:tcBorders>
              <w:top w:val="nil"/>
              <w:left w:val="nil"/>
              <w:bottom w:val="nil"/>
              <w:right w:val="nil"/>
            </w:tcBorders>
            <w:shd w:val="clear" w:color="000000" w:fill="DBEEF3"/>
            <w:noWrap/>
            <w:vAlign w:val="bottom"/>
            <w:hideMark/>
          </w:tcPr>
          <w:p w:rsidR="00650C2A"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E04756">
              <w:rPr>
                <w:rFonts w:eastAsia="Times New Roman" w:cs="Calibri"/>
                <w:color w:val="000000"/>
                <w:sz w:val="20"/>
                <w:szCs w:val="20"/>
                <w:lang w:eastAsia="el-GR"/>
              </w:rPr>
              <w:instrText xml:space="preserve"> =c6-d6 \# "#.##0" </w:instrText>
            </w:r>
            <w:r>
              <w:rPr>
                <w:rFonts w:eastAsia="Times New Roman" w:cs="Calibri"/>
                <w:color w:val="000000"/>
                <w:sz w:val="20"/>
                <w:szCs w:val="20"/>
                <w:lang w:eastAsia="el-GR"/>
              </w:rPr>
              <w:fldChar w:fldCharType="separate"/>
            </w:r>
            <w:r w:rsidR="00E04756">
              <w:rPr>
                <w:rFonts w:eastAsia="Times New Roman" w:cs="Calibri"/>
                <w:noProof/>
                <w:color w:val="000000"/>
                <w:sz w:val="20"/>
                <w:szCs w:val="20"/>
                <w:lang w:eastAsia="el-GR"/>
              </w:rPr>
              <w:t>32.277</w:t>
            </w:r>
            <w:r>
              <w:rPr>
                <w:rFonts w:eastAsia="Times New Roman" w:cs="Calibri"/>
                <w:color w:val="000000"/>
                <w:sz w:val="20"/>
                <w:szCs w:val="20"/>
                <w:lang w:eastAsia="el-GR"/>
              </w:rPr>
              <w:fldChar w:fldCharType="end"/>
            </w:r>
          </w:p>
        </w:tc>
      </w:tr>
      <w:tr w:rsidR="00650C2A" w:rsidRPr="005B28EF" w:rsidTr="00650C2A">
        <w:trPr>
          <w:trHeight w:val="300"/>
        </w:trPr>
        <w:tc>
          <w:tcPr>
            <w:tcW w:w="726" w:type="dxa"/>
            <w:tcBorders>
              <w:top w:val="nil"/>
              <w:left w:val="nil"/>
              <w:bottom w:val="nil"/>
              <w:right w:val="nil"/>
            </w:tcBorders>
            <w:shd w:val="clear" w:color="auto" w:fill="auto"/>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62</w:t>
            </w:r>
          </w:p>
        </w:tc>
        <w:tc>
          <w:tcPr>
            <w:tcW w:w="2926" w:type="dxa"/>
            <w:tcBorders>
              <w:top w:val="nil"/>
              <w:left w:val="nil"/>
              <w:bottom w:val="nil"/>
              <w:right w:val="nil"/>
            </w:tcBorders>
            <w:shd w:val="clear" w:color="auto" w:fill="auto"/>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Παροχές τρίτων</w:t>
            </w:r>
          </w:p>
        </w:tc>
        <w:tc>
          <w:tcPr>
            <w:tcW w:w="1540" w:type="dxa"/>
            <w:tcBorders>
              <w:top w:val="nil"/>
              <w:left w:val="nil"/>
              <w:bottom w:val="nil"/>
              <w:right w:val="nil"/>
            </w:tcBorders>
            <w:shd w:val="clear" w:color="auto" w:fill="auto"/>
            <w:noWrap/>
            <w:vAlign w:val="bottom"/>
            <w:hideMark/>
          </w:tcPr>
          <w:p w:rsidR="00650C2A" w:rsidRPr="00650C2A" w:rsidRDefault="00650C2A" w:rsidP="00650C2A">
            <w:pPr>
              <w:spacing w:after="0" w:line="240" w:lineRule="auto"/>
              <w:jc w:val="center"/>
              <w:rPr>
                <w:sz w:val="20"/>
                <w:szCs w:val="20"/>
              </w:rPr>
            </w:pPr>
            <w:r w:rsidRPr="00650C2A">
              <w:rPr>
                <w:sz w:val="20"/>
                <w:szCs w:val="20"/>
              </w:rPr>
              <w:t>803.438</w:t>
            </w:r>
          </w:p>
        </w:tc>
        <w:tc>
          <w:tcPr>
            <w:tcW w:w="1389" w:type="dxa"/>
            <w:tcBorders>
              <w:top w:val="nil"/>
              <w:left w:val="nil"/>
              <w:bottom w:val="nil"/>
              <w:right w:val="nil"/>
            </w:tcBorders>
            <w:shd w:val="clear" w:color="auto" w:fill="auto"/>
            <w:noWrap/>
            <w:vAlign w:val="bottom"/>
            <w:hideMark/>
          </w:tcPr>
          <w:p w:rsidR="00650C2A" w:rsidRPr="00650C2A" w:rsidRDefault="00650C2A" w:rsidP="00650C2A">
            <w:pPr>
              <w:spacing w:after="0" w:line="240" w:lineRule="auto"/>
              <w:jc w:val="center"/>
              <w:rPr>
                <w:sz w:val="20"/>
                <w:szCs w:val="20"/>
              </w:rPr>
            </w:pPr>
            <w:r w:rsidRPr="00650C2A">
              <w:rPr>
                <w:sz w:val="20"/>
                <w:szCs w:val="20"/>
              </w:rPr>
              <w:t>746.748</w:t>
            </w:r>
          </w:p>
        </w:tc>
        <w:tc>
          <w:tcPr>
            <w:tcW w:w="1320" w:type="dxa"/>
            <w:tcBorders>
              <w:top w:val="nil"/>
              <w:left w:val="nil"/>
              <w:bottom w:val="nil"/>
              <w:right w:val="nil"/>
            </w:tcBorders>
            <w:shd w:val="clear" w:color="auto" w:fill="auto"/>
            <w:noWrap/>
            <w:vAlign w:val="bottom"/>
            <w:hideMark/>
          </w:tcPr>
          <w:p w:rsidR="00650C2A"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E04756">
              <w:rPr>
                <w:rFonts w:eastAsia="Times New Roman" w:cs="Calibri"/>
                <w:color w:val="000000"/>
                <w:sz w:val="20"/>
                <w:szCs w:val="20"/>
                <w:lang w:eastAsia="el-GR"/>
              </w:rPr>
              <w:instrText xml:space="preserve"> =c7-d7 \# "#.##0" </w:instrText>
            </w:r>
            <w:r>
              <w:rPr>
                <w:rFonts w:eastAsia="Times New Roman" w:cs="Calibri"/>
                <w:color w:val="000000"/>
                <w:sz w:val="20"/>
                <w:szCs w:val="20"/>
                <w:lang w:eastAsia="el-GR"/>
              </w:rPr>
              <w:fldChar w:fldCharType="separate"/>
            </w:r>
            <w:r w:rsidR="00E04756">
              <w:rPr>
                <w:rFonts w:eastAsia="Times New Roman" w:cs="Calibri"/>
                <w:noProof/>
                <w:color w:val="000000"/>
                <w:sz w:val="20"/>
                <w:szCs w:val="20"/>
                <w:lang w:eastAsia="el-GR"/>
              </w:rPr>
              <w:t>56.690</w:t>
            </w:r>
            <w:r>
              <w:rPr>
                <w:rFonts w:eastAsia="Times New Roman" w:cs="Calibri"/>
                <w:color w:val="000000"/>
                <w:sz w:val="20"/>
                <w:szCs w:val="20"/>
                <w:lang w:eastAsia="el-GR"/>
              </w:rPr>
              <w:fldChar w:fldCharType="end"/>
            </w:r>
          </w:p>
        </w:tc>
      </w:tr>
      <w:tr w:rsidR="00650C2A" w:rsidRPr="005B28EF" w:rsidTr="00650C2A">
        <w:trPr>
          <w:trHeight w:val="300"/>
        </w:trPr>
        <w:tc>
          <w:tcPr>
            <w:tcW w:w="7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63</w:t>
            </w:r>
          </w:p>
        </w:tc>
        <w:tc>
          <w:tcPr>
            <w:tcW w:w="29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Φόροι - τέλη</w:t>
            </w:r>
          </w:p>
        </w:tc>
        <w:tc>
          <w:tcPr>
            <w:tcW w:w="1540"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6.631</w:t>
            </w:r>
          </w:p>
        </w:tc>
        <w:tc>
          <w:tcPr>
            <w:tcW w:w="1389"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6.631</w:t>
            </w:r>
          </w:p>
        </w:tc>
        <w:tc>
          <w:tcPr>
            <w:tcW w:w="1320" w:type="dxa"/>
            <w:tcBorders>
              <w:top w:val="nil"/>
              <w:left w:val="nil"/>
              <w:bottom w:val="nil"/>
              <w:right w:val="nil"/>
            </w:tcBorders>
            <w:shd w:val="clear" w:color="000000" w:fill="DBEEF3"/>
            <w:noWrap/>
            <w:vAlign w:val="bottom"/>
            <w:hideMark/>
          </w:tcPr>
          <w:p w:rsidR="00650C2A"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E04756">
              <w:rPr>
                <w:rFonts w:eastAsia="Times New Roman" w:cs="Calibri"/>
                <w:color w:val="000000"/>
                <w:sz w:val="20"/>
                <w:szCs w:val="20"/>
                <w:lang w:eastAsia="el-GR"/>
              </w:rPr>
              <w:instrText xml:space="preserve"> =c8-d8 \# "#.##0,00" </w:instrText>
            </w:r>
            <w:r>
              <w:rPr>
                <w:rFonts w:eastAsia="Times New Roman" w:cs="Calibri"/>
                <w:color w:val="000000"/>
                <w:sz w:val="20"/>
                <w:szCs w:val="20"/>
                <w:lang w:eastAsia="el-GR"/>
              </w:rPr>
              <w:fldChar w:fldCharType="separate"/>
            </w:r>
            <w:r w:rsidR="00E04756">
              <w:rPr>
                <w:rFonts w:eastAsia="Times New Roman" w:cs="Calibri"/>
                <w:noProof/>
                <w:color w:val="000000"/>
                <w:sz w:val="20"/>
                <w:szCs w:val="20"/>
                <w:lang w:eastAsia="el-GR"/>
              </w:rPr>
              <w:t xml:space="preserve">   0,00</w:t>
            </w:r>
            <w:r>
              <w:rPr>
                <w:rFonts w:eastAsia="Times New Roman" w:cs="Calibri"/>
                <w:color w:val="000000"/>
                <w:sz w:val="20"/>
                <w:szCs w:val="20"/>
                <w:lang w:eastAsia="el-GR"/>
              </w:rPr>
              <w:fldChar w:fldCharType="end"/>
            </w:r>
          </w:p>
        </w:tc>
      </w:tr>
      <w:tr w:rsidR="00650C2A" w:rsidRPr="005B28EF" w:rsidTr="00650C2A">
        <w:trPr>
          <w:trHeight w:val="300"/>
        </w:trPr>
        <w:tc>
          <w:tcPr>
            <w:tcW w:w="726" w:type="dxa"/>
            <w:tcBorders>
              <w:top w:val="nil"/>
              <w:left w:val="nil"/>
              <w:bottom w:val="nil"/>
              <w:right w:val="nil"/>
            </w:tcBorders>
            <w:shd w:val="clear" w:color="auto" w:fill="auto"/>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64</w:t>
            </w:r>
          </w:p>
        </w:tc>
        <w:tc>
          <w:tcPr>
            <w:tcW w:w="2926" w:type="dxa"/>
            <w:tcBorders>
              <w:top w:val="nil"/>
              <w:left w:val="nil"/>
              <w:bottom w:val="nil"/>
              <w:right w:val="nil"/>
            </w:tcBorders>
            <w:shd w:val="clear" w:color="auto" w:fill="auto"/>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Λοιπά Γενικά έξοδα</w:t>
            </w:r>
          </w:p>
        </w:tc>
        <w:tc>
          <w:tcPr>
            <w:tcW w:w="1540" w:type="dxa"/>
            <w:tcBorders>
              <w:top w:val="nil"/>
              <w:left w:val="nil"/>
              <w:bottom w:val="nil"/>
              <w:right w:val="nil"/>
            </w:tcBorders>
            <w:shd w:val="clear" w:color="auto" w:fill="auto"/>
            <w:noWrap/>
            <w:vAlign w:val="bottom"/>
            <w:hideMark/>
          </w:tcPr>
          <w:p w:rsidR="00650C2A" w:rsidRPr="00650C2A" w:rsidRDefault="00650C2A" w:rsidP="00650C2A">
            <w:pPr>
              <w:spacing w:after="0" w:line="240" w:lineRule="auto"/>
              <w:jc w:val="center"/>
              <w:rPr>
                <w:sz w:val="20"/>
                <w:szCs w:val="20"/>
              </w:rPr>
            </w:pPr>
            <w:r w:rsidRPr="00650C2A">
              <w:rPr>
                <w:sz w:val="20"/>
                <w:szCs w:val="20"/>
              </w:rPr>
              <w:t>252.023</w:t>
            </w:r>
          </w:p>
        </w:tc>
        <w:tc>
          <w:tcPr>
            <w:tcW w:w="1389" w:type="dxa"/>
            <w:tcBorders>
              <w:top w:val="nil"/>
              <w:left w:val="nil"/>
              <w:bottom w:val="nil"/>
              <w:right w:val="nil"/>
            </w:tcBorders>
            <w:shd w:val="clear" w:color="auto" w:fill="auto"/>
            <w:noWrap/>
            <w:vAlign w:val="bottom"/>
            <w:hideMark/>
          </w:tcPr>
          <w:p w:rsidR="00650C2A" w:rsidRPr="00650C2A" w:rsidRDefault="00650C2A" w:rsidP="00650C2A">
            <w:pPr>
              <w:spacing w:after="0" w:line="240" w:lineRule="auto"/>
              <w:jc w:val="center"/>
              <w:rPr>
                <w:sz w:val="20"/>
                <w:szCs w:val="20"/>
              </w:rPr>
            </w:pPr>
            <w:r w:rsidRPr="00650C2A">
              <w:rPr>
                <w:sz w:val="20"/>
                <w:szCs w:val="20"/>
              </w:rPr>
              <w:t>210.532</w:t>
            </w:r>
          </w:p>
        </w:tc>
        <w:tc>
          <w:tcPr>
            <w:tcW w:w="1320" w:type="dxa"/>
            <w:tcBorders>
              <w:top w:val="nil"/>
              <w:left w:val="nil"/>
              <w:bottom w:val="nil"/>
              <w:right w:val="nil"/>
            </w:tcBorders>
            <w:shd w:val="clear" w:color="auto" w:fill="auto"/>
            <w:noWrap/>
            <w:vAlign w:val="bottom"/>
            <w:hideMark/>
          </w:tcPr>
          <w:p w:rsidR="00650C2A"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E04756">
              <w:rPr>
                <w:rFonts w:eastAsia="Times New Roman" w:cs="Calibri"/>
                <w:color w:val="000000"/>
                <w:sz w:val="20"/>
                <w:szCs w:val="20"/>
                <w:lang w:eastAsia="el-GR"/>
              </w:rPr>
              <w:instrText xml:space="preserve"> =c9-d9 \# "#.##0" </w:instrText>
            </w:r>
            <w:r>
              <w:rPr>
                <w:rFonts w:eastAsia="Times New Roman" w:cs="Calibri"/>
                <w:color w:val="000000"/>
                <w:sz w:val="20"/>
                <w:szCs w:val="20"/>
                <w:lang w:eastAsia="el-GR"/>
              </w:rPr>
              <w:fldChar w:fldCharType="separate"/>
            </w:r>
            <w:r w:rsidR="00E04756">
              <w:rPr>
                <w:rFonts w:eastAsia="Times New Roman" w:cs="Calibri"/>
                <w:noProof/>
                <w:color w:val="000000"/>
                <w:sz w:val="20"/>
                <w:szCs w:val="20"/>
                <w:lang w:eastAsia="el-GR"/>
              </w:rPr>
              <w:t>41.491</w:t>
            </w:r>
            <w:r>
              <w:rPr>
                <w:rFonts w:eastAsia="Times New Roman" w:cs="Calibri"/>
                <w:color w:val="000000"/>
                <w:sz w:val="20"/>
                <w:szCs w:val="20"/>
                <w:lang w:eastAsia="el-GR"/>
              </w:rPr>
              <w:fldChar w:fldCharType="end"/>
            </w:r>
          </w:p>
        </w:tc>
      </w:tr>
      <w:tr w:rsidR="00650C2A" w:rsidRPr="005B28EF" w:rsidTr="00650C2A">
        <w:trPr>
          <w:trHeight w:val="300"/>
        </w:trPr>
        <w:tc>
          <w:tcPr>
            <w:tcW w:w="7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66</w:t>
            </w:r>
          </w:p>
        </w:tc>
        <w:tc>
          <w:tcPr>
            <w:tcW w:w="29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Δαπάνες προμήθειας αναλωσίμων</w:t>
            </w:r>
          </w:p>
        </w:tc>
        <w:tc>
          <w:tcPr>
            <w:tcW w:w="1540"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212.079</w:t>
            </w:r>
          </w:p>
        </w:tc>
        <w:tc>
          <w:tcPr>
            <w:tcW w:w="1389"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sz w:val="20"/>
                <w:szCs w:val="20"/>
              </w:rPr>
            </w:pPr>
            <w:r w:rsidRPr="00650C2A">
              <w:rPr>
                <w:sz w:val="20"/>
                <w:szCs w:val="20"/>
              </w:rPr>
              <w:t>149.914</w:t>
            </w:r>
          </w:p>
        </w:tc>
        <w:tc>
          <w:tcPr>
            <w:tcW w:w="1320" w:type="dxa"/>
            <w:tcBorders>
              <w:top w:val="nil"/>
              <w:left w:val="nil"/>
              <w:bottom w:val="nil"/>
              <w:right w:val="nil"/>
            </w:tcBorders>
            <w:shd w:val="clear" w:color="000000" w:fill="DBEEF3"/>
            <w:noWrap/>
            <w:vAlign w:val="bottom"/>
            <w:hideMark/>
          </w:tcPr>
          <w:p w:rsidR="00650C2A"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1146A6">
              <w:rPr>
                <w:rFonts w:eastAsia="Times New Roman" w:cs="Calibri"/>
                <w:color w:val="000000"/>
                <w:sz w:val="20"/>
                <w:szCs w:val="20"/>
                <w:lang w:eastAsia="el-GR"/>
              </w:rPr>
              <w:instrText xml:space="preserve"> =c10-d10 \# "#.##0" </w:instrText>
            </w:r>
            <w:r>
              <w:rPr>
                <w:rFonts w:eastAsia="Times New Roman" w:cs="Calibri"/>
                <w:color w:val="000000"/>
                <w:sz w:val="20"/>
                <w:szCs w:val="20"/>
                <w:lang w:eastAsia="el-GR"/>
              </w:rPr>
              <w:fldChar w:fldCharType="separate"/>
            </w:r>
            <w:r w:rsidR="001146A6">
              <w:rPr>
                <w:rFonts w:eastAsia="Times New Roman" w:cs="Calibri"/>
                <w:noProof/>
                <w:color w:val="000000"/>
                <w:sz w:val="20"/>
                <w:szCs w:val="20"/>
                <w:lang w:eastAsia="el-GR"/>
              </w:rPr>
              <w:t>62.165</w:t>
            </w:r>
            <w:r>
              <w:rPr>
                <w:rFonts w:eastAsia="Times New Roman" w:cs="Calibri"/>
                <w:color w:val="000000"/>
                <w:sz w:val="20"/>
                <w:szCs w:val="20"/>
                <w:lang w:eastAsia="el-GR"/>
              </w:rPr>
              <w:fldChar w:fldCharType="end"/>
            </w:r>
          </w:p>
        </w:tc>
      </w:tr>
      <w:tr w:rsidR="00650C2A" w:rsidRPr="005B28EF" w:rsidTr="00650C2A">
        <w:trPr>
          <w:trHeight w:val="300"/>
        </w:trPr>
        <w:tc>
          <w:tcPr>
            <w:tcW w:w="726" w:type="dxa"/>
            <w:tcBorders>
              <w:top w:val="nil"/>
              <w:left w:val="nil"/>
              <w:bottom w:val="nil"/>
              <w:right w:val="nil"/>
            </w:tcBorders>
            <w:shd w:val="clear" w:color="auto" w:fill="auto"/>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68</w:t>
            </w:r>
          </w:p>
        </w:tc>
        <w:tc>
          <w:tcPr>
            <w:tcW w:w="2926" w:type="dxa"/>
            <w:tcBorders>
              <w:top w:val="nil"/>
              <w:left w:val="nil"/>
              <w:bottom w:val="nil"/>
              <w:right w:val="nil"/>
            </w:tcBorders>
            <w:shd w:val="clear" w:color="auto" w:fill="auto"/>
            <w:noWrap/>
            <w:vAlign w:val="bottom"/>
            <w:hideMark/>
          </w:tcPr>
          <w:p w:rsidR="00650C2A" w:rsidRPr="005B28EF" w:rsidRDefault="00650C2A"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Λοιπά Έξοδα</w:t>
            </w:r>
          </w:p>
        </w:tc>
        <w:tc>
          <w:tcPr>
            <w:tcW w:w="1540" w:type="dxa"/>
            <w:tcBorders>
              <w:top w:val="nil"/>
              <w:left w:val="nil"/>
              <w:bottom w:val="nil"/>
              <w:right w:val="nil"/>
            </w:tcBorders>
            <w:shd w:val="clear" w:color="auto" w:fill="auto"/>
            <w:noWrap/>
            <w:vAlign w:val="bottom"/>
            <w:hideMark/>
          </w:tcPr>
          <w:p w:rsidR="00650C2A" w:rsidRPr="00650C2A" w:rsidRDefault="00650C2A" w:rsidP="00650C2A">
            <w:pPr>
              <w:spacing w:after="0" w:line="240" w:lineRule="auto"/>
              <w:jc w:val="center"/>
              <w:rPr>
                <w:sz w:val="20"/>
                <w:szCs w:val="20"/>
              </w:rPr>
            </w:pPr>
            <w:r w:rsidRPr="00650C2A">
              <w:rPr>
                <w:sz w:val="20"/>
                <w:szCs w:val="20"/>
              </w:rPr>
              <w:t>77.453</w:t>
            </w:r>
          </w:p>
        </w:tc>
        <w:tc>
          <w:tcPr>
            <w:tcW w:w="1389" w:type="dxa"/>
            <w:tcBorders>
              <w:top w:val="nil"/>
              <w:left w:val="nil"/>
              <w:bottom w:val="nil"/>
              <w:right w:val="nil"/>
            </w:tcBorders>
            <w:shd w:val="clear" w:color="auto" w:fill="auto"/>
            <w:noWrap/>
            <w:vAlign w:val="bottom"/>
            <w:hideMark/>
          </w:tcPr>
          <w:p w:rsidR="00650C2A" w:rsidRPr="00650C2A" w:rsidRDefault="00650C2A" w:rsidP="00650C2A">
            <w:pPr>
              <w:spacing w:after="0" w:line="240" w:lineRule="auto"/>
              <w:jc w:val="center"/>
              <w:rPr>
                <w:sz w:val="20"/>
                <w:szCs w:val="20"/>
              </w:rPr>
            </w:pPr>
            <w:r w:rsidRPr="00650C2A">
              <w:rPr>
                <w:sz w:val="20"/>
                <w:szCs w:val="20"/>
              </w:rPr>
              <w:t>75.942</w:t>
            </w:r>
          </w:p>
        </w:tc>
        <w:tc>
          <w:tcPr>
            <w:tcW w:w="1320" w:type="dxa"/>
            <w:tcBorders>
              <w:top w:val="nil"/>
              <w:left w:val="nil"/>
              <w:bottom w:val="nil"/>
              <w:right w:val="nil"/>
            </w:tcBorders>
            <w:shd w:val="clear" w:color="auto" w:fill="auto"/>
            <w:noWrap/>
            <w:vAlign w:val="bottom"/>
            <w:hideMark/>
          </w:tcPr>
          <w:p w:rsidR="00650C2A"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AA7803">
              <w:rPr>
                <w:rFonts w:eastAsia="Times New Roman" w:cs="Calibri"/>
                <w:color w:val="000000"/>
                <w:sz w:val="20"/>
                <w:szCs w:val="20"/>
                <w:lang w:eastAsia="el-GR"/>
              </w:rPr>
              <w:instrText xml:space="preserve"> =c11-d11 \# "#.##0" </w:instrText>
            </w:r>
            <w:r>
              <w:rPr>
                <w:rFonts w:eastAsia="Times New Roman" w:cs="Calibri"/>
                <w:color w:val="000000"/>
                <w:sz w:val="20"/>
                <w:szCs w:val="20"/>
                <w:lang w:eastAsia="el-GR"/>
              </w:rPr>
              <w:fldChar w:fldCharType="separate"/>
            </w:r>
            <w:r w:rsidR="00AA7803">
              <w:rPr>
                <w:rFonts w:eastAsia="Times New Roman" w:cs="Calibri"/>
                <w:noProof/>
                <w:color w:val="000000"/>
                <w:sz w:val="20"/>
                <w:szCs w:val="20"/>
                <w:lang w:eastAsia="el-GR"/>
              </w:rPr>
              <w:t>1.511</w:t>
            </w:r>
            <w:r>
              <w:rPr>
                <w:rFonts w:eastAsia="Times New Roman" w:cs="Calibri"/>
                <w:color w:val="000000"/>
                <w:sz w:val="20"/>
                <w:szCs w:val="20"/>
                <w:lang w:eastAsia="el-GR"/>
              </w:rPr>
              <w:fldChar w:fldCharType="end"/>
            </w:r>
          </w:p>
        </w:tc>
      </w:tr>
      <w:tr w:rsidR="00650C2A" w:rsidRPr="005B28EF" w:rsidTr="00650C2A">
        <w:trPr>
          <w:trHeight w:val="300"/>
        </w:trPr>
        <w:tc>
          <w:tcPr>
            <w:tcW w:w="7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rPr>
                <w:rFonts w:eastAsia="Times New Roman" w:cs="Calibri"/>
                <w:color w:val="000000"/>
                <w:lang w:eastAsia="el-GR"/>
              </w:rPr>
            </w:pPr>
            <w:r w:rsidRPr="005B28EF">
              <w:rPr>
                <w:rFonts w:eastAsia="Times New Roman" w:cs="Calibri"/>
                <w:color w:val="000000"/>
                <w:lang w:eastAsia="el-GR"/>
              </w:rPr>
              <w:t> </w:t>
            </w:r>
          </w:p>
        </w:tc>
        <w:tc>
          <w:tcPr>
            <w:tcW w:w="2926" w:type="dxa"/>
            <w:tcBorders>
              <w:top w:val="nil"/>
              <w:left w:val="nil"/>
              <w:bottom w:val="nil"/>
              <w:right w:val="nil"/>
            </w:tcBorders>
            <w:shd w:val="clear" w:color="000000" w:fill="DBEEF3"/>
            <w:noWrap/>
            <w:vAlign w:val="bottom"/>
            <w:hideMark/>
          </w:tcPr>
          <w:p w:rsidR="00650C2A" w:rsidRPr="005B28EF" w:rsidRDefault="00650C2A"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Σύνολο Λειτουργικών Δαπανών</w:t>
            </w:r>
          </w:p>
        </w:tc>
        <w:tc>
          <w:tcPr>
            <w:tcW w:w="1540"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b/>
                <w:sz w:val="20"/>
                <w:szCs w:val="20"/>
              </w:rPr>
            </w:pPr>
            <w:r w:rsidRPr="00650C2A">
              <w:rPr>
                <w:b/>
                <w:sz w:val="20"/>
                <w:szCs w:val="20"/>
              </w:rPr>
              <w:t>1.564.828</w:t>
            </w:r>
          </w:p>
        </w:tc>
        <w:tc>
          <w:tcPr>
            <w:tcW w:w="1389" w:type="dxa"/>
            <w:tcBorders>
              <w:top w:val="nil"/>
              <w:left w:val="nil"/>
              <w:bottom w:val="nil"/>
              <w:right w:val="nil"/>
            </w:tcBorders>
            <w:shd w:val="clear" w:color="000000" w:fill="DBEEF3"/>
            <w:noWrap/>
            <w:vAlign w:val="bottom"/>
            <w:hideMark/>
          </w:tcPr>
          <w:p w:rsidR="00650C2A" w:rsidRPr="00650C2A" w:rsidRDefault="00650C2A" w:rsidP="00650C2A">
            <w:pPr>
              <w:spacing w:after="0" w:line="240" w:lineRule="auto"/>
              <w:jc w:val="center"/>
              <w:rPr>
                <w:b/>
                <w:sz w:val="20"/>
                <w:szCs w:val="20"/>
              </w:rPr>
            </w:pPr>
            <w:r w:rsidRPr="00650C2A">
              <w:rPr>
                <w:b/>
                <w:sz w:val="20"/>
                <w:szCs w:val="20"/>
              </w:rPr>
              <w:t>1.370.694</w:t>
            </w:r>
          </w:p>
        </w:tc>
        <w:tc>
          <w:tcPr>
            <w:tcW w:w="1320" w:type="dxa"/>
            <w:tcBorders>
              <w:top w:val="nil"/>
              <w:left w:val="nil"/>
              <w:bottom w:val="nil"/>
              <w:right w:val="nil"/>
            </w:tcBorders>
            <w:shd w:val="clear" w:color="000000" w:fill="DBEEF3"/>
            <w:noWrap/>
            <w:vAlign w:val="bottom"/>
            <w:hideMark/>
          </w:tcPr>
          <w:p w:rsidR="00650C2A" w:rsidRPr="005B28EF" w:rsidRDefault="00B900A5"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1146A6">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1146A6">
              <w:rPr>
                <w:rFonts w:eastAsia="Times New Roman" w:cs="Calibri"/>
                <w:b/>
                <w:bCs/>
                <w:noProof/>
                <w:color w:val="000000"/>
                <w:sz w:val="20"/>
                <w:szCs w:val="20"/>
                <w:lang w:eastAsia="el-GR"/>
              </w:rPr>
              <w:t>194.134</w:t>
            </w:r>
            <w:r>
              <w:rPr>
                <w:rFonts w:eastAsia="Times New Roman" w:cs="Calibri"/>
                <w:b/>
                <w:bCs/>
                <w:color w:val="000000"/>
                <w:sz w:val="20"/>
                <w:szCs w:val="20"/>
                <w:lang w:eastAsia="el-GR"/>
              </w:rPr>
              <w:fldChar w:fldCharType="end"/>
            </w:r>
          </w:p>
        </w:tc>
      </w:tr>
      <w:tr w:rsidR="001848EB" w:rsidRPr="005B28EF" w:rsidTr="001848EB">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AA7803" w:rsidRPr="005B28EF" w:rsidTr="00AA7803">
        <w:trPr>
          <w:trHeight w:val="300"/>
        </w:trPr>
        <w:tc>
          <w:tcPr>
            <w:tcW w:w="726" w:type="dxa"/>
            <w:tcBorders>
              <w:top w:val="nil"/>
              <w:left w:val="nil"/>
              <w:bottom w:val="nil"/>
              <w:right w:val="nil"/>
            </w:tcBorders>
            <w:shd w:val="clear" w:color="000000" w:fill="DBEEF3"/>
            <w:noWrap/>
            <w:vAlign w:val="bottom"/>
            <w:hideMark/>
          </w:tcPr>
          <w:p w:rsidR="00AA7803" w:rsidRPr="005B28EF" w:rsidRDefault="00AA7803"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67</w:t>
            </w:r>
          </w:p>
        </w:tc>
        <w:tc>
          <w:tcPr>
            <w:tcW w:w="2926" w:type="dxa"/>
            <w:tcBorders>
              <w:top w:val="nil"/>
              <w:left w:val="nil"/>
              <w:bottom w:val="nil"/>
              <w:right w:val="nil"/>
            </w:tcBorders>
            <w:shd w:val="clear" w:color="000000" w:fill="DBEEF3"/>
            <w:noWrap/>
            <w:vAlign w:val="bottom"/>
            <w:hideMark/>
          </w:tcPr>
          <w:p w:rsidR="00AA7803" w:rsidRPr="005B28EF" w:rsidRDefault="00AA7803"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Πληρωμές - Μεταβιβάσεις σε τρίτους</w:t>
            </w:r>
          </w:p>
        </w:tc>
        <w:tc>
          <w:tcPr>
            <w:tcW w:w="1540" w:type="dxa"/>
            <w:tcBorders>
              <w:top w:val="nil"/>
              <w:left w:val="nil"/>
              <w:bottom w:val="nil"/>
              <w:right w:val="nil"/>
            </w:tcBorders>
            <w:shd w:val="clear" w:color="000000" w:fill="DBEEF3"/>
            <w:noWrap/>
            <w:vAlign w:val="bottom"/>
            <w:hideMark/>
          </w:tcPr>
          <w:p w:rsidR="00AA7803" w:rsidRPr="00AA7803" w:rsidRDefault="00AA7803" w:rsidP="00AA7803">
            <w:pPr>
              <w:spacing w:after="0" w:line="240" w:lineRule="auto"/>
              <w:jc w:val="center"/>
              <w:rPr>
                <w:sz w:val="20"/>
                <w:szCs w:val="20"/>
              </w:rPr>
            </w:pPr>
            <w:r w:rsidRPr="00AA7803">
              <w:rPr>
                <w:sz w:val="20"/>
                <w:szCs w:val="20"/>
              </w:rPr>
              <w:t>2.788.007</w:t>
            </w:r>
          </w:p>
        </w:tc>
        <w:tc>
          <w:tcPr>
            <w:tcW w:w="1389" w:type="dxa"/>
            <w:tcBorders>
              <w:top w:val="nil"/>
              <w:left w:val="nil"/>
              <w:bottom w:val="nil"/>
              <w:right w:val="nil"/>
            </w:tcBorders>
            <w:shd w:val="clear" w:color="000000" w:fill="DBEEF3"/>
            <w:noWrap/>
            <w:vAlign w:val="bottom"/>
            <w:hideMark/>
          </w:tcPr>
          <w:p w:rsidR="00AA7803" w:rsidRPr="00AA7803" w:rsidRDefault="00AA7803" w:rsidP="00AA7803">
            <w:pPr>
              <w:spacing w:after="0" w:line="240" w:lineRule="auto"/>
              <w:jc w:val="center"/>
              <w:rPr>
                <w:sz w:val="20"/>
                <w:szCs w:val="20"/>
              </w:rPr>
            </w:pPr>
            <w:r w:rsidRPr="00AA7803">
              <w:rPr>
                <w:sz w:val="20"/>
                <w:szCs w:val="20"/>
              </w:rPr>
              <w:t>2.611.607</w:t>
            </w:r>
          </w:p>
        </w:tc>
        <w:tc>
          <w:tcPr>
            <w:tcW w:w="1320" w:type="dxa"/>
            <w:tcBorders>
              <w:top w:val="nil"/>
              <w:left w:val="nil"/>
              <w:bottom w:val="nil"/>
              <w:right w:val="nil"/>
            </w:tcBorders>
            <w:shd w:val="clear" w:color="000000" w:fill="DBEEF3"/>
            <w:noWrap/>
            <w:vAlign w:val="bottom"/>
            <w:hideMark/>
          </w:tcPr>
          <w:p w:rsidR="00AA7803"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DA5287">
              <w:rPr>
                <w:rFonts w:eastAsia="Times New Roman" w:cs="Calibri"/>
                <w:color w:val="000000"/>
                <w:sz w:val="20"/>
                <w:szCs w:val="20"/>
                <w:lang w:eastAsia="el-GR"/>
              </w:rPr>
              <w:instrText xml:space="preserve"> =c14-d14 \# "#.##0" </w:instrText>
            </w:r>
            <w:r>
              <w:rPr>
                <w:rFonts w:eastAsia="Times New Roman" w:cs="Calibri"/>
                <w:color w:val="000000"/>
                <w:sz w:val="20"/>
                <w:szCs w:val="20"/>
                <w:lang w:eastAsia="el-GR"/>
              </w:rPr>
              <w:fldChar w:fldCharType="separate"/>
            </w:r>
            <w:r w:rsidR="00DA5287">
              <w:rPr>
                <w:rFonts w:eastAsia="Times New Roman" w:cs="Calibri"/>
                <w:noProof/>
                <w:color w:val="000000"/>
                <w:sz w:val="20"/>
                <w:szCs w:val="20"/>
                <w:lang w:eastAsia="el-GR"/>
              </w:rPr>
              <w:t>176.400</w:t>
            </w:r>
            <w:r>
              <w:rPr>
                <w:rFonts w:eastAsia="Times New Roman" w:cs="Calibri"/>
                <w:color w:val="000000"/>
                <w:sz w:val="20"/>
                <w:szCs w:val="20"/>
                <w:lang w:eastAsia="el-GR"/>
              </w:rPr>
              <w:fldChar w:fldCharType="end"/>
            </w:r>
          </w:p>
        </w:tc>
      </w:tr>
      <w:tr w:rsidR="00AA7803" w:rsidRPr="005B28EF" w:rsidTr="00AA7803">
        <w:trPr>
          <w:trHeight w:val="300"/>
        </w:trPr>
        <w:tc>
          <w:tcPr>
            <w:tcW w:w="726" w:type="dxa"/>
            <w:tcBorders>
              <w:top w:val="nil"/>
              <w:left w:val="nil"/>
              <w:bottom w:val="nil"/>
              <w:right w:val="nil"/>
            </w:tcBorders>
            <w:shd w:val="clear" w:color="auto" w:fill="auto"/>
            <w:noWrap/>
            <w:vAlign w:val="bottom"/>
            <w:hideMark/>
          </w:tcPr>
          <w:p w:rsidR="00AA7803" w:rsidRPr="00AA7803" w:rsidRDefault="00AA7803" w:rsidP="00E547C3">
            <w:pPr>
              <w:spacing w:after="0" w:line="240" w:lineRule="auto"/>
              <w:jc w:val="center"/>
              <w:rPr>
                <w:rFonts w:eastAsia="Times New Roman" w:cs="Calibri"/>
                <w:bCs/>
                <w:color w:val="000000"/>
                <w:sz w:val="20"/>
                <w:szCs w:val="20"/>
                <w:lang w:eastAsia="el-GR"/>
              </w:rPr>
            </w:pPr>
            <w:r w:rsidRPr="00AA7803">
              <w:rPr>
                <w:rFonts w:eastAsia="Times New Roman" w:cs="Calibri"/>
                <w:bCs/>
                <w:color w:val="000000"/>
                <w:sz w:val="20"/>
                <w:szCs w:val="20"/>
                <w:lang w:eastAsia="el-GR"/>
              </w:rPr>
              <w:t>674</w:t>
            </w:r>
          </w:p>
        </w:tc>
        <w:tc>
          <w:tcPr>
            <w:tcW w:w="2926" w:type="dxa"/>
            <w:tcBorders>
              <w:top w:val="nil"/>
              <w:left w:val="nil"/>
              <w:bottom w:val="nil"/>
              <w:right w:val="nil"/>
            </w:tcBorders>
            <w:shd w:val="clear" w:color="auto" w:fill="auto"/>
            <w:noWrap/>
            <w:vAlign w:val="bottom"/>
            <w:hideMark/>
          </w:tcPr>
          <w:p w:rsidR="00AA7803" w:rsidRPr="00AA7803" w:rsidRDefault="00AA7803" w:rsidP="00E547C3">
            <w:pPr>
              <w:spacing w:after="0" w:line="240" w:lineRule="auto"/>
              <w:jc w:val="center"/>
              <w:rPr>
                <w:rFonts w:eastAsia="Times New Roman" w:cs="Calibri"/>
                <w:bCs/>
                <w:color w:val="000000"/>
                <w:sz w:val="20"/>
                <w:szCs w:val="20"/>
                <w:lang w:eastAsia="el-GR"/>
              </w:rPr>
            </w:pPr>
            <w:r w:rsidRPr="00AA7803">
              <w:rPr>
                <w:rFonts w:eastAsia="Times New Roman" w:cs="Calibri"/>
                <w:bCs/>
                <w:color w:val="000000"/>
                <w:sz w:val="20"/>
                <w:szCs w:val="20"/>
                <w:lang w:eastAsia="el-GR"/>
              </w:rPr>
              <w:t>Προνοιακά</w:t>
            </w:r>
          </w:p>
        </w:tc>
        <w:tc>
          <w:tcPr>
            <w:tcW w:w="1540" w:type="dxa"/>
            <w:tcBorders>
              <w:top w:val="nil"/>
              <w:left w:val="nil"/>
              <w:bottom w:val="nil"/>
              <w:right w:val="nil"/>
            </w:tcBorders>
            <w:shd w:val="clear" w:color="auto" w:fill="auto"/>
            <w:noWrap/>
            <w:vAlign w:val="bottom"/>
            <w:hideMark/>
          </w:tcPr>
          <w:p w:rsidR="00AA7803" w:rsidRPr="00AA7803" w:rsidRDefault="00AA7803" w:rsidP="00AA7803">
            <w:pPr>
              <w:spacing w:after="0" w:line="240" w:lineRule="auto"/>
              <w:jc w:val="center"/>
              <w:rPr>
                <w:sz w:val="20"/>
                <w:szCs w:val="20"/>
              </w:rPr>
            </w:pPr>
            <w:r w:rsidRPr="00AA7803">
              <w:rPr>
                <w:sz w:val="20"/>
                <w:szCs w:val="20"/>
              </w:rPr>
              <w:t>14.663.962</w:t>
            </w:r>
          </w:p>
        </w:tc>
        <w:tc>
          <w:tcPr>
            <w:tcW w:w="1389" w:type="dxa"/>
            <w:tcBorders>
              <w:top w:val="nil"/>
              <w:left w:val="nil"/>
              <w:bottom w:val="nil"/>
              <w:right w:val="nil"/>
            </w:tcBorders>
            <w:shd w:val="clear" w:color="auto" w:fill="auto"/>
            <w:noWrap/>
            <w:vAlign w:val="bottom"/>
            <w:hideMark/>
          </w:tcPr>
          <w:p w:rsidR="00AA7803" w:rsidRPr="00AA7803" w:rsidRDefault="00AA7803" w:rsidP="00AA7803">
            <w:pPr>
              <w:spacing w:after="0" w:line="240" w:lineRule="auto"/>
              <w:jc w:val="center"/>
              <w:rPr>
                <w:sz w:val="20"/>
                <w:szCs w:val="20"/>
              </w:rPr>
            </w:pPr>
            <w:r w:rsidRPr="00AA7803">
              <w:rPr>
                <w:sz w:val="20"/>
                <w:szCs w:val="20"/>
              </w:rPr>
              <w:t>14.663.962</w:t>
            </w:r>
          </w:p>
        </w:tc>
        <w:tc>
          <w:tcPr>
            <w:tcW w:w="1320" w:type="dxa"/>
            <w:tcBorders>
              <w:top w:val="nil"/>
              <w:left w:val="nil"/>
              <w:bottom w:val="nil"/>
              <w:right w:val="nil"/>
            </w:tcBorders>
            <w:shd w:val="clear" w:color="auto" w:fill="auto"/>
            <w:noWrap/>
            <w:vAlign w:val="bottom"/>
            <w:hideMark/>
          </w:tcPr>
          <w:p w:rsidR="00AA7803"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BA7C46">
              <w:rPr>
                <w:rFonts w:eastAsia="Times New Roman" w:cs="Calibri"/>
                <w:color w:val="000000"/>
                <w:sz w:val="20"/>
                <w:szCs w:val="20"/>
                <w:lang w:eastAsia="el-GR"/>
              </w:rPr>
              <w:instrText xml:space="preserve"> =c15-d15 \# "#.##0,00" </w:instrText>
            </w:r>
            <w:r>
              <w:rPr>
                <w:rFonts w:eastAsia="Times New Roman" w:cs="Calibri"/>
                <w:color w:val="000000"/>
                <w:sz w:val="20"/>
                <w:szCs w:val="20"/>
                <w:lang w:eastAsia="el-GR"/>
              </w:rPr>
              <w:fldChar w:fldCharType="separate"/>
            </w:r>
            <w:r w:rsidR="00BA7C46">
              <w:rPr>
                <w:rFonts w:eastAsia="Times New Roman" w:cs="Calibri"/>
                <w:noProof/>
                <w:color w:val="000000"/>
                <w:sz w:val="20"/>
                <w:szCs w:val="20"/>
                <w:lang w:eastAsia="el-GR"/>
              </w:rPr>
              <w:t xml:space="preserve">   0,00</w:t>
            </w:r>
            <w:r>
              <w:rPr>
                <w:rFonts w:eastAsia="Times New Roman" w:cs="Calibri"/>
                <w:color w:val="000000"/>
                <w:sz w:val="20"/>
                <w:szCs w:val="20"/>
                <w:lang w:eastAsia="el-GR"/>
              </w:rPr>
              <w:fldChar w:fldCharType="end"/>
            </w:r>
          </w:p>
        </w:tc>
      </w:tr>
      <w:tr w:rsidR="00626A6C" w:rsidRPr="005B28EF" w:rsidTr="001848EB">
        <w:trPr>
          <w:trHeight w:val="300"/>
        </w:trPr>
        <w:tc>
          <w:tcPr>
            <w:tcW w:w="726" w:type="dxa"/>
            <w:tcBorders>
              <w:top w:val="nil"/>
              <w:left w:val="nil"/>
              <w:bottom w:val="nil"/>
              <w:right w:val="nil"/>
            </w:tcBorders>
            <w:shd w:val="clear" w:color="000000" w:fill="DBEEF3"/>
            <w:noWrap/>
            <w:vAlign w:val="bottom"/>
            <w:hideMark/>
          </w:tcPr>
          <w:p w:rsidR="00626A6C" w:rsidRPr="005B28EF" w:rsidRDefault="00626A6C"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67</w:t>
            </w:r>
          </w:p>
        </w:tc>
        <w:tc>
          <w:tcPr>
            <w:tcW w:w="2926" w:type="dxa"/>
            <w:tcBorders>
              <w:top w:val="nil"/>
              <w:left w:val="nil"/>
              <w:bottom w:val="nil"/>
              <w:right w:val="nil"/>
            </w:tcBorders>
            <w:shd w:val="clear" w:color="000000" w:fill="DBEEF3"/>
            <w:noWrap/>
            <w:vAlign w:val="bottom"/>
            <w:hideMark/>
          </w:tcPr>
          <w:p w:rsidR="00626A6C" w:rsidRPr="005B28EF" w:rsidRDefault="00626A6C"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Μεταβιβάσεις σε τρίτους εκτός προνοιακών</w:t>
            </w:r>
          </w:p>
        </w:tc>
        <w:tc>
          <w:tcPr>
            <w:tcW w:w="1540" w:type="dxa"/>
            <w:tcBorders>
              <w:top w:val="nil"/>
              <w:left w:val="nil"/>
              <w:bottom w:val="nil"/>
              <w:right w:val="nil"/>
            </w:tcBorders>
            <w:shd w:val="clear" w:color="000000" w:fill="DBEEF3"/>
            <w:noWrap/>
            <w:vAlign w:val="bottom"/>
            <w:hideMark/>
          </w:tcPr>
          <w:p w:rsidR="00626A6C" w:rsidRPr="000C3D7C" w:rsidRDefault="00B900A5"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AA7803">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AA7803">
              <w:rPr>
                <w:rFonts w:eastAsia="Times New Roman" w:cs="Calibri"/>
                <w:b/>
                <w:bCs/>
                <w:noProof/>
                <w:color w:val="000000"/>
                <w:sz w:val="20"/>
                <w:szCs w:val="20"/>
                <w:lang w:eastAsia="el-GR"/>
              </w:rPr>
              <w:t>17.451.970</w:t>
            </w:r>
            <w:r>
              <w:rPr>
                <w:rFonts w:eastAsia="Times New Roman" w:cs="Calibri"/>
                <w:b/>
                <w:bCs/>
                <w:color w:val="000000"/>
                <w:sz w:val="20"/>
                <w:szCs w:val="20"/>
                <w:lang w:eastAsia="el-GR"/>
              </w:rPr>
              <w:fldChar w:fldCharType="end"/>
            </w:r>
          </w:p>
        </w:tc>
        <w:tc>
          <w:tcPr>
            <w:tcW w:w="1389" w:type="dxa"/>
            <w:tcBorders>
              <w:top w:val="nil"/>
              <w:left w:val="nil"/>
              <w:bottom w:val="nil"/>
              <w:right w:val="nil"/>
            </w:tcBorders>
            <w:shd w:val="clear" w:color="000000" w:fill="DBEEF3"/>
            <w:noWrap/>
            <w:vAlign w:val="bottom"/>
            <w:hideMark/>
          </w:tcPr>
          <w:p w:rsidR="00626A6C" w:rsidRPr="000C3D7C" w:rsidRDefault="00B900A5"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AA7803">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AA7803">
              <w:rPr>
                <w:rFonts w:eastAsia="Times New Roman" w:cs="Calibri"/>
                <w:b/>
                <w:bCs/>
                <w:noProof/>
                <w:color w:val="000000"/>
                <w:sz w:val="20"/>
                <w:szCs w:val="20"/>
                <w:lang w:eastAsia="el-GR"/>
              </w:rPr>
              <w:t>17.275.570</w:t>
            </w:r>
            <w:r>
              <w:rPr>
                <w:rFonts w:eastAsia="Times New Roman" w:cs="Calibri"/>
                <w:b/>
                <w:bCs/>
                <w:color w:val="000000"/>
                <w:sz w:val="20"/>
                <w:szCs w:val="20"/>
                <w:lang w:eastAsia="el-GR"/>
              </w:rPr>
              <w:fldChar w:fldCharType="end"/>
            </w:r>
          </w:p>
        </w:tc>
        <w:tc>
          <w:tcPr>
            <w:tcW w:w="1320" w:type="dxa"/>
            <w:tcBorders>
              <w:top w:val="nil"/>
              <w:left w:val="nil"/>
              <w:bottom w:val="nil"/>
              <w:right w:val="nil"/>
            </w:tcBorders>
            <w:shd w:val="clear" w:color="000000" w:fill="DBEEF3"/>
            <w:noWrap/>
            <w:vAlign w:val="bottom"/>
            <w:hideMark/>
          </w:tcPr>
          <w:p w:rsidR="00626A6C" w:rsidRPr="000C3D7C" w:rsidRDefault="00B900A5"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BA7C46">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BA7C46">
              <w:rPr>
                <w:rFonts w:eastAsia="Times New Roman" w:cs="Calibri"/>
                <w:b/>
                <w:bCs/>
                <w:noProof/>
                <w:color w:val="000000"/>
                <w:sz w:val="20"/>
                <w:szCs w:val="20"/>
                <w:lang w:eastAsia="el-GR"/>
              </w:rPr>
              <w:t>176.400</w:t>
            </w:r>
            <w:r>
              <w:rPr>
                <w:rFonts w:eastAsia="Times New Roman" w:cs="Calibri"/>
                <w:b/>
                <w:bCs/>
                <w:color w:val="000000"/>
                <w:sz w:val="20"/>
                <w:szCs w:val="20"/>
                <w:lang w:eastAsia="el-GR"/>
              </w:rPr>
              <w:fldChar w:fldCharType="end"/>
            </w:r>
          </w:p>
        </w:tc>
      </w:tr>
      <w:tr w:rsidR="001848EB" w:rsidRPr="005B28EF" w:rsidTr="001848EB">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3A41ED" w:rsidRPr="005B28EF" w:rsidTr="003A41ED">
        <w:trPr>
          <w:trHeight w:val="300"/>
        </w:trPr>
        <w:tc>
          <w:tcPr>
            <w:tcW w:w="726" w:type="dxa"/>
            <w:tcBorders>
              <w:top w:val="nil"/>
              <w:left w:val="nil"/>
              <w:bottom w:val="nil"/>
              <w:right w:val="nil"/>
            </w:tcBorders>
            <w:shd w:val="clear" w:color="000000" w:fill="DBEEF3"/>
            <w:noWrap/>
            <w:vAlign w:val="bottom"/>
            <w:hideMark/>
          </w:tcPr>
          <w:p w:rsidR="003A41ED" w:rsidRPr="005B28EF" w:rsidRDefault="003A41ED"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71</w:t>
            </w:r>
          </w:p>
        </w:tc>
        <w:tc>
          <w:tcPr>
            <w:tcW w:w="2926" w:type="dxa"/>
            <w:tcBorders>
              <w:top w:val="nil"/>
              <w:left w:val="nil"/>
              <w:bottom w:val="nil"/>
              <w:right w:val="nil"/>
            </w:tcBorders>
            <w:shd w:val="clear" w:color="000000" w:fill="DBEEF3"/>
            <w:noWrap/>
            <w:vAlign w:val="bottom"/>
            <w:hideMark/>
          </w:tcPr>
          <w:p w:rsidR="003A41ED" w:rsidRPr="005B28EF" w:rsidRDefault="003A41ED"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Αγορές κτιρίων, τεχνικών έργων και προμήθειες παγίων</w:t>
            </w:r>
          </w:p>
        </w:tc>
        <w:tc>
          <w:tcPr>
            <w:tcW w:w="1540" w:type="dxa"/>
            <w:tcBorders>
              <w:top w:val="nil"/>
              <w:left w:val="nil"/>
              <w:bottom w:val="nil"/>
              <w:right w:val="nil"/>
            </w:tcBorders>
            <w:shd w:val="clear" w:color="000000" w:fill="DBEEF3"/>
            <w:noWrap/>
            <w:vAlign w:val="bottom"/>
            <w:hideMark/>
          </w:tcPr>
          <w:p w:rsidR="003A41ED" w:rsidRPr="002F236D" w:rsidRDefault="003A41ED" w:rsidP="003A41ED">
            <w:pPr>
              <w:spacing w:after="0" w:line="240" w:lineRule="auto"/>
              <w:jc w:val="center"/>
            </w:pPr>
            <w:r w:rsidRPr="002F236D">
              <w:t>240.922</w:t>
            </w:r>
          </w:p>
        </w:tc>
        <w:tc>
          <w:tcPr>
            <w:tcW w:w="1389" w:type="dxa"/>
            <w:tcBorders>
              <w:top w:val="nil"/>
              <w:left w:val="nil"/>
              <w:bottom w:val="nil"/>
              <w:right w:val="nil"/>
            </w:tcBorders>
            <w:shd w:val="clear" w:color="000000" w:fill="DBEEF3"/>
            <w:noWrap/>
            <w:vAlign w:val="bottom"/>
            <w:hideMark/>
          </w:tcPr>
          <w:p w:rsidR="003A41ED" w:rsidRPr="002F236D" w:rsidRDefault="003A41ED" w:rsidP="003A41ED">
            <w:pPr>
              <w:spacing w:after="0" w:line="240" w:lineRule="auto"/>
              <w:jc w:val="center"/>
            </w:pPr>
            <w:r w:rsidRPr="002F236D">
              <w:t>238.998</w:t>
            </w:r>
          </w:p>
        </w:tc>
        <w:tc>
          <w:tcPr>
            <w:tcW w:w="1320" w:type="dxa"/>
            <w:tcBorders>
              <w:top w:val="nil"/>
              <w:left w:val="nil"/>
              <w:bottom w:val="nil"/>
              <w:right w:val="nil"/>
            </w:tcBorders>
            <w:shd w:val="clear" w:color="000000" w:fill="DBEEF3"/>
            <w:noWrap/>
            <w:vAlign w:val="bottom"/>
            <w:hideMark/>
          </w:tcPr>
          <w:p w:rsidR="003A41ED"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3A41ED">
              <w:rPr>
                <w:rFonts w:eastAsia="Times New Roman" w:cs="Calibri"/>
                <w:color w:val="000000"/>
                <w:sz w:val="20"/>
                <w:szCs w:val="20"/>
                <w:lang w:eastAsia="el-GR"/>
              </w:rPr>
              <w:instrText xml:space="preserve"> =c18-d18 \# "#.##0" </w:instrText>
            </w:r>
            <w:r>
              <w:rPr>
                <w:rFonts w:eastAsia="Times New Roman" w:cs="Calibri"/>
                <w:color w:val="000000"/>
                <w:sz w:val="20"/>
                <w:szCs w:val="20"/>
                <w:lang w:eastAsia="el-GR"/>
              </w:rPr>
              <w:fldChar w:fldCharType="separate"/>
            </w:r>
            <w:r w:rsidR="003A41ED">
              <w:rPr>
                <w:rFonts w:eastAsia="Times New Roman" w:cs="Calibri"/>
                <w:noProof/>
                <w:color w:val="000000"/>
                <w:sz w:val="20"/>
                <w:szCs w:val="20"/>
                <w:lang w:eastAsia="el-GR"/>
              </w:rPr>
              <w:t>1.924</w:t>
            </w:r>
            <w:r>
              <w:rPr>
                <w:rFonts w:eastAsia="Times New Roman" w:cs="Calibri"/>
                <w:color w:val="000000"/>
                <w:sz w:val="20"/>
                <w:szCs w:val="20"/>
                <w:lang w:eastAsia="el-GR"/>
              </w:rPr>
              <w:fldChar w:fldCharType="end"/>
            </w:r>
          </w:p>
        </w:tc>
      </w:tr>
      <w:tr w:rsidR="003A41ED" w:rsidRPr="005B28EF" w:rsidTr="003A41ED">
        <w:trPr>
          <w:trHeight w:val="300"/>
        </w:trPr>
        <w:tc>
          <w:tcPr>
            <w:tcW w:w="726" w:type="dxa"/>
            <w:tcBorders>
              <w:top w:val="nil"/>
              <w:left w:val="nil"/>
              <w:bottom w:val="nil"/>
              <w:right w:val="nil"/>
            </w:tcBorders>
            <w:shd w:val="clear" w:color="auto" w:fill="auto"/>
            <w:noWrap/>
            <w:vAlign w:val="bottom"/>
            <w:hideMark/>
          </w:tcPr>
          <w:p w:rsidR="003A41ED" w:rsidRPr="005B28EF" w:rsidRDefault="003A41ED"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73</w:t>
            </w:r>
          </w:p>
        </w:tc>
        <w:tc>
          <w:tcPr>
            <w:tcW w:w="2926" w:type="dxa"/>
            <w:tcBorders>
              <w:top w:val="nil"/>
              <w:left w:val="nil"/>
              <w:bottom w:val="nil"/>
              <w:right w:val="nil"/>
            </w:tcBorders>
            <w:shd w:val="clear" w:color="auto" w:fill="auto"/>
            <w:noWrap/>
            <w:vAlign w:val="bottom"/>
            <w:hideMark/>
          </w:tcPr>
          <w:p w:rsidR="003A41ED" w:rsidRPr="005B28EF" w:rsidRDefault="003A41ED"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Έργα</w:t>
            </w:r>
          </w:p>
        </w:tc>
        <w:tc>
          <w:tcPr>
            <w:tcW w:w="1540" w:type="dxa"/>
            <w:tcBorders>
              <w:top w:val="nil"/>
              <w:left w:val="nil"/>
              <w:bottom w:val="nil"/>
              <w:right w:val="nil"/>
            </w:tcBorders>
            <w:shd w:val="clear" w:color="auto" w:fill="auto"/>
            <w:noWrap/>
            <w:vAlign w:val="bottom"/>
            <w:hideMark/>
          </w:tcPr>
          <w:p w:rsidR="003A41ED" w:rsidRPr="002F236D" w:rsidRDefault="003A41ED" w:rsidP="003A41ED">
            <w:pPr>
              <w:spacing w:after="0" w:line="240" w:lineRule="auto"/>
              <w:jc w:val="center"/>
            </w:pPr>
            <w:r w:rsidRPr="002F236D">
              <w:t>260.062</w:t>
            </w:r>
          </w:p>
        </w:tc>
        <w:tc>
          <w:tcPr>
            <w:tcW w:w="1389" w:type="dxa"/>
            <w:tcBorders>
              <w:top w:val="nil"/>
              <w:left w:val="nil"/>
              <w:bottom w:val="nil"/>
              <w:right w:val="nil"/>
            </w:tcBorders>
            <w:shd w:val="clear" w:color="auto" w:fill="auto"/>
            <w:noWrap/>
            <w:vAlign w:val="bottom"/>
            <w:hideMark/>
          </w:tcPr>
          <w:p w:rsidR="003A41ED" w:rsidRPr="002F236D" w:rsidRDefault="003A41ED" w:rsidP="003A41ED">
            <w:pPr>
              <w:spacing w:after="0" w:line="240" w:lineRule="auto"/>
              <w:jc w:val="center"/>
            </w:pPr>
            <w:r w:rsidRPr="002F236D">
              <w:t>154.545</w:t>
            </w:r>
          </w:p>
        </w:tc>
        <w:tc>
          <w:tcPr>
            <w:tcW w:w="1320" w:type="dxa"/>
            <w:tcBorders>
              <w:top w:val="nil"/>
              <w:left w:val="nil"/>
              <w:bottom w:val="nil"/>
              <w:right w:val="nil"/>
            </w:tcBorders>
            <w:shd w:val="clear" w:color="auto" w:fill="auto"/>
            <w:noWrap/>
            <w:vAlign w:val="bottom"/>
            <w:hideMark/>
          </w:tcPr>
          <w:p w:rsidR="003A41ED"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3A41ED">
              <w:rPr>
                <w:rFonts w:eastAsia="Times New Roman" w:cs="Calibri"/>
                <w:color w:val="000000"/>
                <w:sz w:val="20"/>
                <w:szCs w:val="20"/>
                <w:lang w:eastAsia="el-GR"/>
              </w:rPr>
              <w:instrText xml:space="preserve"> =c19-d19 \# "#.##0" </w:instrText>
            </w:r>
            <w:r>
              <w:rPr>
                <w:rFonts w:eastAsia="Times New Roman" w:cs="Calibri"/>
                <w:color w:val="000000"/>
                <w:sz w:val="20"/>
                <w:szCs w:val="20"/>
                <w:lang w:eastAsia="el-GR"/>
              </w:rPr>
              <w:fldChar w:fldCharType="separate"/>
            </w:r>
            <w:r w:rsidR="003A41ED">
              <w:rPr>
                <w:rFonts w:eastAsia="Times New Roman" w:cs="Calibri"/>
                <w:noProof/>
                <w:color w:val="000000"/>
                <w:sz w:val="20"/>
                <w:szCs w:val="20"/>
                <w:lang w:eastAsia="el-GR"/>
              </w:rPr>
              <w:t>105.517</w:t>
            </w:r>
            <w:r>
              <w:rPr>
                <w:rFonts w:eastAsia="Times New Roman" w:cs="Calibri"/>
                <w:color w:val="000000"/>
                <w:sz w:val="20"/>
                <w:szCs w:val="20"/>
                <w:lang w:eastAsia="el-GR"/>
              </w:rPr>
              <w:fldChar w:fldCharType="end"/>
            </w:r>
          </w:p>
        </w:tc>
      </w:tr>
      <w:tr w:rsidR="003A41ED" w:rsidRPr="005B28EF" w:rsidTr="003A41ED">
        <w:trPr>
          <w:trHeight w:val="300"/>
        </w:trPr>
        <w:tc>
          <w:tcPr>
            <w:tcW w:w="726" w:type="dxa"/>
            <w:tcBorders>
              <w:top w:val="nil"/>
              <w:left w:val="nil"/>
              <w:bottom w:val="nil"/>
              <w:right w:val="nil"/>
            </w:tcBorders>
            <w:shd w:val="clear" w:color="000000" w:fill="DBEEF3"/>
            <w:noWrap/>
            <w:vAlign w:val="bottom"/>
            <w:hideMark/>
          </w:tcPr>
          <w:p w:rsidR="003A41ED" w:rsidRPr="005B28EF" w:rsidRDefault="003A41ED"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74</w:t>
            </w:r>
          </w:p>
        </w:tc>
        <w:tc>
          <w:tcPr>
            <w:tcW w:w="2926" w:type="dxa"/>
            <w:tcBorders>
              <w:top w:val="nil"/>
              <w:left w:val="nil"/>
              <w:bottom w:val="nil"/>
              <w:right w:val="nil"/>
            </w:tcBorders>
            <w:shd w:val="clear" w:color="000000" w:fill="DBEEF3"/>
            <w:noWrap/>
            <w:vAlign w:val="bottom"/>
            <w:hideMark/>
          </w:tcPr>
          <w:p w:rsidR="003A41ED" w:rsidRPr="005B28EF" w:rsidRDefault="003A41ED" w:rsidP="00E547C3">
            <w:pPr>
              <w:spacing w:after="0" w:line="240" w:lineRule="auto"/>
              <w:jc w:val="center"/>
              <w:rPr>
                <w:rFonts w:eastAsia="Times New Roman" w:cs="Calibri"/>
                <w:color w:val="000000"/>
                <w:sz w:val="20"/>
                <w:szCs w:val="20"/>
                <w:lang w:eastAsia="el-GR"/>
              </w:rPr>
            </w:pPr>
            <w:r w:rsidRPr="005B28EF">
              <w:rPr>
                <w:rFonts w:eastAsia="Times New Roman" w:cs="Calibri"/>
                <w:color w:val="000000"/>
                <w:sz w:val="20"/>
                <w:szCs w:val="20"/>
                <w:lang w:eastAsia="el-GR"/>
              </w:rPr>
              <w:t>Μελέτες, έρευνες, πειραματικές εργασίες κλπ</w:t>
            </w:r>
          </w:p>
        </w:tc>
        <w:tc>
          <w:tcPr>
            <w:tcW w:w="1540" w:type="dxa"/>
            <w:tcBorders>
              <w:top w:val="nil"/>
              <w:left w:val="nil"/>
              <w:bottom w:val="nil"/>
              <w:right w:val="nil"/>
            </w:tcBorders>
            <w:shd w:val="clear" w:color="000000" w:fill="DBEEF3"/>
            <w:noWrap/>
            <w:vAlign w:val="bottom"/>
            <w:hideMark/>
          </w:tcPr>
          <w:p w:rsidR="003A41ED" w:rsidRPr="002F236D" w:rsidRDefault="003A41ED" w:rsidP="003A41ED">
            <w:pPr>
              <w:spacing w:after="0" w:line="240" w:lineRule="auto"/>
              <w:jc w:val="center"/>
            </w:pPr>
            <w:r w:rsidRPr="002F236D">
              <w:t>294.783</w:t>
            </w:r>
          </w:p>
        </w:tc>
        <w:tc>
          <w:tcPr>
            <w:tcW w:w="1389" w:type="dxa"/>
            <w:tcBorders>
              <w:top w:val="nil"/>
              <w:left w:val="nil"/>
              <w:bottom w:val="nil"/>
              <w:right w:val="nil"/>
            </w:tcBorders>
            <w:shd w:val="clear" w:color="000000" w:fill="DBEEF3"/>
            <w:noWrap/>
            <w:vAlign w:val="bottom"/>
            <w:hideMark/>
          </w:tcPr>
          <w:p w:rsidR="003A41ED" w:rsidRDefault="003A41ED" w:rsidP="003A41ED">
            <w:pPr>
              <w:spacing w:after="0" w:line="240" w:lineRule="auto"/>
              <w:jc w:val="center"/>
            </w:pPr>
            <w:r w:rsidRPr="002F236D">
              <w:t>190.044</w:t>
            </w:r>
          </w:p>
        </w:tc>
        <w:tc>
          <w:tcPr>
            <w:tcW w:w="1320" w:type="dxa"/>
            <w:tcBorders>
              <w:top w:val="nil"/>
              <w:left w:val="nil"/>
              <w:bottom w:val="nil"/>
              <w:right w:val="nil"/>
            </w:tcBorders>
            <w:shd w:val="clear" w:color="000000" w:fill="DBEEF3"/>
            <w:noWrap/>
            <w:vAlign w:val="bottom"/>
            <w:hideMark/>
          </w:tcPr>
          <w:p w:rsidR="003A41ED" w:rsidRPr="000C3D7C" w:rsidRDefault="00B900A5" w:rsidP="00BE6396">
            <w:pPr>
              <w:spacing w:after="0" w:line="240" w:lineRule="auto"/>
              <w:jc w:val="center"/>
              <w:rPr>
                <w:rFonts w:eastAsia="Times New Roman" w:cs="Calibri"/>
                <w:color w:val="000000"/>
                <w:sz w:val="20"/>
                <w:szCs w:val="20"/>
                <w:lang w:eastAsia="el-GR"/>
              </w:rPr>
            </w:pPr>
            <w:r>
              <w:rPr>
                <w:rFonts w:eastAsia="Times New Roman" w:cs="Calibri"/>
                <w:color w:val="000000"/>
                <w:sz w:val="20"/>
                <w:szCs w:val="20"/>
                <w:lang w:eastAsia="el-GR"/>
              </w:rPr>
              <w:fldChar w:fldCharType="begin"/>
            </w:r>
            <w:r w:rsidR="003A41ED">
              <w:rPr>
                <w:rFonts w:eastAsia="Times New Roman" w:cs="Calibri"/>
                <w:color w:val="000000"/>
                <w:sz w:val="20"/>
                <w:szCs w:val="20"/>
                <w:lang w:eastAsia="el-GR"/>
              </w:rPr>
              <w:instrText xml:space="preserve"> =c20-d20 \# "#.##0" </w:instrText>
            </w:r>
            <w:r>
              <w:rPr>
                <w:rFonts w:eastAsia="Times New Roman" w:cs="Calibri"/>
                <w:color w:val="000000"/>
                <w:sz w:val="20"/>
                <w:szCs w:val="20"/>
                <w:lang w:eastAsia="el-GR"/>
              </w:rPr>
              <w:fldChar w:fldCharType="separate"/>
            </w:r>
            <w:r w:rsidR="003A41ED">
              <w:rPr>
                <w:rFonts w:eastAsia="Times New Roman" w:cs="Calibri"/>
                <w:noProof/>
                <w:color w:val="000000"/>
                <w:sz w:val="20"/>
                <w:szCs w:val="20"/>
                <w:lang w:eastAsia="el-GR"/>
              </w:rPr>
              <w:t>104.739</w:t>
            </w:r>
            <w:r>
              <w:rPr>
                <w:rFonts w:eastAsia="Times New Roman" w:cs="Calibri"/>
                <w:color w:val="000000"/>
                <w:sz w:val="20"/>
                <w:szCs w:val="20"/>
                <w:lang w:eastAsia="el-GR"/>
              </w:rPr>
              <w:fldChar w:fldCharType="end"/>
            </w:r>
          </w:p>
        </w:tc>
      </w:tr>
      <w:tr w:rsidR="004769C6" w:rsidRPr="005B28EF" w:rsidTr="001848EB">
        <w:trPr>
          <w:trHeight w:val="300"/>
        </w:trPr>
        <w:tc>
          <w:tcPr>
            <w:tcW w:w="726" w:type="dxa"/>
            <w:tcBorders>
              <w:top w:val="nil"/>
              <w:left w:val="nil"/>
              <w:bottom w:val="nil"/>
              <w:right w:val="nil"/>
            </w:tcBorders>
            <w:shd w:val="clear" w:color="auto" w:fill="auto"/>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7</w:t>
            </w:r>
          </w:p>
        </w:tc>
        <w:tc>
          <w:tcPr>
            <w:tcW w:w="2926" w:type="dxa"/>
            <w:tcBorders>
              <w:top w:val="nil"/>
              <w:left w:val="nil"/>
              <w:bottom w:val="nil"/>
              <w:right w:val="nil"/>
            </w:tcBorders>
            <w:shd w:val="clear" w:color="auto" w:fill="auto"/>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 xml:space="preserve">Σύνολο Επενδύσεων </w:t>
            </w:r>
          </w:p>
        </w:tc>
        <w:tc>
          <w:tcPr>
            <w:tcW w:w="1540" w:type="dxa"/>
            <w:tcBorders>
              <w:top w:val="nil"/>
              <w:left w:val="nil"/>
              <w:bottom w:val="nil"/>
              <w:right w:val="nil"/>
            </w:tcBorders>
            <w:shd w:val="clear" w:color="auto" w:fill="auto"/>
            <w:noWrap/>
            <w:vAlign w:val="bottom"/>
            <w:hideMark/>
          </w:tcPr>
          <w:p w:rsidR="004769C6" w:rsidRPr="000C3D7C" w:rsidRDefault="00B900A5"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3A41ED">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3A41ED">
              <w:rPr>
                <w:rFonts w:eastAsia="Times New Roman" w:cs="Calibri"/>
                <w:b/>
                <w:bCs/>
                <w:noProof/>
                <w:color w:val="000000"/>
                <w:sz w:val="20"/>
                <w:szCs w:val="20"/>
                <w:lang w:eastAsia="el-GR"/>
              </w:rPr>
              <w:t>795.767</w:t>
            </w:r>
            <w:r>
              <w:rPr>
                <w:rFonts w:eastAsia="Times New Roman" w:cs="Calibri"/>
                <w:b/>
                <w:bCs/>
                <w:color w:val="000000"/>
                <w:sz w:val="20"/>
                <w:szCs w:val="20"/>
                <w:lang w:eastAsia="el-GR"/>
              </w:rPr>
              <w:fldChar w:fldCharType="end"/>
            </w:r>
          </w:p>
        </w:tc>
        <w:tc>
          <w:tcPr>
            <w:tcW w:w="1389" w:type="dxa"/>
            <w:tcBorders>
              <w:top w:val="nil"/>
              <w:left w:val="nil"/>
              <w:bottom w:val="nil"/>
              <w:right w:val="nil"/>
            </w:tcBorders>
            <w:shd w:val="clear" w:color="auto" w:fill="auto"/>
            <w:noWrap/>
            <w:vAlign w:val="bottom"/>
            <w:hideMark/>
          </w:tcPr>
          <w:p w:rsidR="004769C6" w:rsidRPr="000C3D7C" w:rsidRDefault="00B900A5"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3A41ED">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3A41ED">
              <w:rPr>
                <w:rFonts w:eastAsia="Times New Roman" w:cs="Calibri"/>
                <w:b/>
                <w:bCs/>
                <w:noProof/>
                <w:color w:val="000000"/>
                <w:sz w:val="20"/>
                <w:szCs w:val="20"/>
                <w:lang w:eastAsia="el-GR"/>
              </w:rPr>
              <w:t>583.587</w:t>
            </w:r>
            <w:r>
              <w:rPr>
                <w:rFonts w:eastAsia="Times New Roman" w:cs="Calibri"/>
                <w:b/>
                <w:bCs/>
                <w:color w:val="000000"/>
                <w:sz w:val="20"/>
                <w:szCs w:val="20"/>
                <w:lang w:eastAsia="el-GR"/>
              </w:rPr>
              <w:fldChar w:fldCharType="end"/>
            </w:r>
          </w:p>
        </w:tc>
        <w:tc>
          <w:tcPr>
            <w:tcW w:w="1320" w:type="dxa"/>
            <w:tcBorders>
              <w:top w:val="nil"/>
              <w:left w:val="nil"/>
              <w:bottom w:val="nil"/>
              <w:right w:val="nil"/>
            </w:tcBorders>
            <w:shd w:val="clear" w:color="auto" w:fill="auto"/>
            <w:noWrap/>
            <w:vAlign w:val="bottom"/>
            <w:hideMark/>
          </w:tcPr>
          <w:p w:rsidR="004769C6" w:rsidRPr="000C3D7C" w:rsidRDefault="00B900A5" w:rsidP="00BE6396">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3A41ED">
              <w:rPr>
                <w:rFonts w:eastAsia="Times New Roman" w:cs="Calibri"/>
                <w:b/>
                <w:bCs/>
                <w:color w:val="000000"/>
                <w:sz w:val="20"/>
                <w:szCs w:val="20"/>
                <w:lang w:eastAsia="el-GR"/>
              </w:rPr>
              <w:instrText xml:space="preserve"> =SUM(ABOVE) \# "#.##0" </w:instrText>
            </w:r>
            <w:r>
              <w:rPr>
                <w:rFonts w:eastAsia="Times New Roman" w:cs="Calibri"/>
                <w:b/>
                <w:bCs/>
                <w:color w:val="000000"/>
                <w:sz w:val="20"/>
                <w:szCs w:val="20"/>
                <w:lang w:eastAsia="el-GR"/>
              </w:rPr>
              <w:fldChar w:fldCharType="separate"/>
            </w:r>
            <w:r w:rsidR="003A41ED">
              <w:rPr>
                <w:rFonts w:eastAsia="Times New Roman" w:cs="Calibri"/>
                <w:b/>
                <w:bCs/>
                <w:noProof/>
                <w:color w:val="000000"/>
                <w:sz w:val="20"/>
                <w:szCs w:val="20"/>
                <w:lang w:eastAsia="el-GR"/>
              </w:rPr>
              <w:t>212.180</w:t>
            </w:r>
            <w:r>
              <w:rPr>
                <w:rFonts w:eastAsia="Times New Roman" w:cs="Calibri"/>
                <w:b/>
                <w:bCs/>
                <w:color w:val="000000"/>
                <w:sz w:val="20"/>
                <w:szCs w:val="20"/>
                <w:lang w:eastAsia="el-GR"/>
              </w:rPr>
              <w:fldChar w:fldCharType="end"/>
            </w:r>
          </w:p>
        </w:tc>
      </w:tr>
      <w:tr w:rsidR="001848EB" w:rsidRPr="005B28EF" w:rsidTr="001848EB">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DA5287" w:rsidRDefault="001848EB" w:rsidP="00E547C3">
            <w:pPr>
              <w:spacing w:after="0" w:line="240" w:lineRule="auto"/>
              <w:rPr>
                <w:rFonts w:eastAsia="Times New Roman" w:cs="Calibri"/>
                <w:color w:val="000000"/>
                <w:lang w:val="en-US" w:eastAsia="el-GR"/>
              </w:rPr>
            </w:pPr>
          </w:p>
        </w:tc>
        <w:tc>
          <w:tcPr>
            <w:tcW w:w="1389"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DA5287" w:rsidRDefault="001848EB" w:rsidP="00E547C3">
            <w:pPr>
              <w:spacing w:after="0" w:line="240" w:lineRule="auto"/>
              <w:rPr>
                <w:rFonts w:eastAsia="Times New Roman" w:cs="Calibri"/>
                <w:color w:val="000000"/>
                <w:lang w:val="en-US" w:eastAsia="el-GR"/>
              </w:rPr>
            </w:pPr>
          </w:p>
        </w:tc>
      </w:tr>
      <w:tr w:rsidR="004769C6" w:rsidRPr="005B28EF" w:rsidTr="001848EB">
        <w:trPr>
          <w:trHeight w:val="300"/>
        </w:trPr>
        <w:tc>
          <w:tcPr>
            <w:tcW w:w="7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81</w:t>
            </w:r>
          </w:p>
        </w:tc>
        <w:tc>
          <w:tcPr>
            <w:tcW w:w="29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Πληρωμές Π.Ο.Ε.</w:t>
            </w:r>
          </w:p>
        </w:tc>
        <w:tc>
          <w:tcPr>
            <w:tcW w:w="1540" w:type="dxa"/>
            <w:tcBorders>
              <w:top w:val="nil"/>
              <w:left w:val="nil"/>
              <w:bottom w:val="nil"/>
              <w:right w:val="nil"/>
            </w:tcBorders>
            <w:shd w:val="clear" w:color="000000" w:fill="DBEEF3"/>
            <w:noWrap/>
            <w:vAlign w:val="bottom"/>
            <w:hideMark/>
          </w:tcPr>
          <w:p w:rsidR="004769C6" w:rsidRPr="00DA5287" w:rsidRDefault="004769C6" w:rsidP="00DA5287">
            <w:pPr>
              <w:spacing w:after="0" w:line="240" w:lineRule="auto"/>
              <w:jc w:val="center"/>
              <w:rPr>
                <w:rFonts w:eastAsia="Times New Roman" w:cs="Calibri"/>
                <w:b/>
                <w:bCs/>
                <w:color w:val="000000"/>
                <w:sz w:val="20"/>
                <w:szCs w:val="20"/>
                <w:lang w:val="en-US" w:eastAsia="el-GR"/>
              </w:rPr>
            </w:pPr>
            <w:r w:rsidRPr="000C3D7C">
              <w:rPr>
                <w:rFonts w:eastAsia="Times New Roman" w:cs="Calibri"/>
                <w:b/>
                <w:bCs/>
                <w:color w:val="000000"/>
                <w:sz w:val="20"/>
                <w:szCs w:val="20"/>
                <w:lang w:eastAsia="el-GR"/>
              </w:rPr>
              <w:t>1.606.</w:t>
            </w:r>
            <w:r w:rsidR="00DA5287">
              <w:rPr>
                <w:rFonts w:eastAsia="Times New Roman" w:cs="Calibri"/>
                <w:b/>
                <w:bCs/>
                <w:color w:val="000000"/>
                <w:sz w:val="20"/>
                <w:szCs w:val="20"/>
                <w:lang w:val="en-US" w:eastAsia="el-GR"/>
              </w:rPr>
              <w:t>242</w:t>
            </w:r>
          </w:p>
        </w:tc>
        <w:tc>
          <w:tcPr>
            <w:tcW w:w="1389" w:type="dxa"/>
            <w:tcBorders>
              <w:top w:val="nil"/>
              <w:left w:val="nil"/>
              <w:bottom w:val="nil"/>
              <w:right w:val="nil"/>
            </w:tcBorders>
            <w:shd w:val="clear" w:color="000000" w:fill="DBEEF3"/>
            <w:noWrap/>
            <w:vAlign w:val="bottom"/>
            <w:hideMark/>
          </w:tcPr>
          <w:p w:rsidR="004769C6" w:rsidRPr="00DA5287" w:rsidRDefault="00DA5287" w:rsidP="00BE6396">
            <w:pPr>
              <w:spacing w:after="0" w:line="240" w:lineRule="auto"/>
              <w:jc w:val="center"/>
              <w:rPr>
                <w:rFonts w:eastAsia="Times New Roman" w:cs="Calibri"/>
                <w:b/>
                <w:bCs/>
                <w:color w:val="000000"/>
                <w:sz w:val="20"/>
                <w:szCs w:val="20"/>
                <w:lang w:val="en-US" w:eastAsia="el-GR"/>
              </w:rPr>
            </w:pPr>
            <w:r>
              <w:rPr>
                <w:rFonts w:eastAsia="Times New Roman" w:cs="Calibri"/>
                <w:b/>
                <w:bCs/>
                <w:color w:val="000000"/>
                <w:sz w:val="20"/>
                <w:szCs w:val="20"/>
                <w:lang w:val="en-US" w:eastAsia="el-GR"/>
              </w:rPr>
              <w:t>930.762</w:t>
            </w:r>
          </w:p>
        </w:tc>
        <w:tc>
          <w:tcPr>
            <w:tcW w:w="1320" w:type="dxa"/>
            <w:tcBorders>
              <w:top w:val="nil"/>
              <w:left w:val="nil"/>
              <w:bottom w:val="nil"/>
              <w:right w:val="nil"/>
            </w:tcBorders>
            <w:shd w:val="clear" w:color="000000" w:fill="DBEEF3"/>
            <w:noWrap/>
            <w:vAlign w:val="bottom"/>
            <w:hideMark/>
          </w:tcPr>
          <w:p w:rsidR="004769C6" w:rsidRPr="005B28EF" w:rsidRDefault="00B900A5"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DA5287">
              <w:rPr>
                <w:rFonts w:eastAsia="Times New Roman" w:cs="Calibri"/>
                <w:b/>
                <w:bCs/>
                <w:color w:val="000000"/>
                <w:sz w:val="20"/>
                <w:szCs w:val="20"/>
                <w:lang w:eastAsia="el-GR"/>
              </w:rPr>
              <w:instrText xml:space="preserve"> =c23-d23 \# "#.##0" </w:instrText>
            </w:r>
            <w:r>
              <w:rPr>
                <w:rFonts w:eastAsia="Times New Roman" w:cs="Calibri"/>
                <w:b/>
                <w:bCs/>
                <w:color w:val="000000"/>
                <w:sz w:val="20"/>
                <w:szCs w:val="20"/>
                <w:lang w:eastAsia="el-GR"/>
              </w:rPr>
              <w:fldChar w:fldCharType="separate"/>
            </w:r>
            <w:r w:rsidR="00DA5287">
              <w:rPr>
                <w:rFonts w:eastAsia="Times New Roman" w:cs="Calibri"/>
                <w:b/>
                <w:bCs/>
                <w:noProof/>
                <w:color w:val="000000"/>
                <w:sz w:val="20"/>
                <w:szCs w:val="20"/>
                <w:lang w:eastAsia="el-GR"/>
              </w:rPr>
              <w:t>675.480</w:t>
            </w:r>
            <w:r>
              <w:rPr>
                <w:rFonts w:eastAsia="Times New Roman" w:cs="Calibri"/>
                <w:b/>
                <w:bCs/>
                <w:color w:val="000000"/>
                <w:sz w:val="20"/>
                <w:szCs w:val="20"/>
                <w:lang w:eastAsia="el-GR"/>
              </w:rPr>
              <w:fldChar w:fldCharType="end"/>
            </w:r>
          </w:p>
        </w:tc>
      </w:tr>
      <w:tr w:rsidR="001848EB" w:rsidRPr="005B28EF" w:rsidTr="001848EB">
        <w:trPr>
          <w:trHeight w:val="300"/>
        </w:trPr>
        <w:tc>
          <w:tcPr>
            <w:tcW w:w="7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2926"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54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89"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c>
          <w:tcPr>
            <w:tcW w:w="1320" w:type="dxa"/>
            <w:tcBorders>
              <w:top w:val="nil"/>
              <w:left w:val="nil"/>
              <w:bottom w:val="nil"/>
              <w:right w:val="nil"/>
            </w:tcBorders>
            <w:shd w:val="clear" w:color="auto" w:fill="auto"/>
            <w:noWrap/>
            <w:vAlign w:val="bottom"/>
            <w:hideMark/>
          </w:tcPr>
          <w:p w:rsidR="001848EB" w:rsidRPr="005B28EF" w:rsidRDefault="001848EB" w:rsidP="00E547C3">
            <w:pPr>
              <w:spacing w:after="0" w:line="240" w:lineRule="auto"/>
              <w:rPr>
                <w:rFonts w:eastAsia="Times New Roman" w:cs="Calibri"/>
                <w:color w:val="000000"/>
                <w:lang w:eastAsia="el-GR"/>
              </w:rPr>
            </w:pPr>
          </w:p>
        </w:tc>
      </w:tr>
      <w:tr w:rsidR="004769C6" w:rsidRPr="005B28EF" w:rsidTr="001848EB">
        <w:trPr>
          <w:trHeight w:val="300"/>
        </w:trPr>
        <w:tc>
          <w:tcPr>
            <w:tcW w:w="7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82</w:t>
            </w:r>
          </w:p>
        </w:tc>
        <w:tc>
          <w:tcPr>
            <w:tcW w:w="2926" w:type="dxa"/>
            <w:tcBorders>
              <w:top w:val="nil"/>
              <w:left w:val="nil"/>
              <w:bottom w:val="nil"/>
              <w:right w:val="nil"/>
            </w:tcBorders>
            <w:shd w:val="clear" w:color="000000" w:fill="DBEEF3"/>
            <w:noWrap/>
            <w:vAlign w:val="bottom"/>
            <w:hideMark/>
          </w:tcPr>
          <w:p w:rsidR="004769C6" w:rsidRPr="005B28EF" w:rsidRDefault="004769C6" w:rsidP="00E547C3">
            <w:pPr>
              <w:spacing w:after="0" w:line="240" w:lineRule="auto"/>
              <w:jc w:val="center"/>
              <w:rPr>
                <w:rFonts w:eastAsia="Times New Roman" w:cs="Calibri"/>
                <w:b/>
                <w:bCs/>
                <w:color w:val="000000"/>
                <w:sz w:val="20"/>
                <w:szCs w:val="20"/>
                <w:lang w:eastAsia="el-GR"/>
              </w:rPr>
            </w:pPr>
            <w:r w:rsidRPr="005B28EF">
              <w:rPr>
                <w:rFonts w:eastAsia="Times New Roman" w:cs="Calibri"/>
                <w:b/>
                <w:bCs/>
                <w:color w:val="000000"/>
                <w:sz w:val="20"/>
                <w:szCs w:val="20"/>
                <w:lang w:eastAsia="el-GR"/>
              </w:rPr>
              <w:t>Αποδόσεις</w:t>
            </w:r>
          </w:p>
        </w:tc>
        <w:tc>
          <w:tcPr>
            <w:tcW w:w="1540" w:type="dxa"/>
            <w:tcBorders>
              <w:top w:val="nil"/>
              <w:left w:val="nil"/>
              <w:bottom w:val="nil"/>
              <w:right w:val="nil"/>
            </w:tcBorders>
            <w:shd w:val="clear" w:color="000000" w:fill="DBEEF3"/>
            <w:noWrap/>
            <w:vAlign w:val="bottom"/>
            <w:hideMark/>
          </w:tcPr>
          <w:p w:rsidR="004769C6" w:rsidRPr="00DA5287" w:rsidRDefault="00DA5287" w:rsidP="00DA5287">
            <w:pPr>
              <w:spacing w:after="0" w:line="240" w:lineRule="auto"/>
              <w:jc w:val="center"/>
              <w:rPr>
                <w:rFonts w:eastAsia="Times New Roman" w:cs="Calibri"/>
                <w:b/>
                <w:bCs/>
                <w:color w:val="000000"/>
                <w:sz w:val="20"/>
                <w:szCs w:val="20"/>
                <w:lang w:val="en-US" w:eastAsia="el-GR"/>
              </w:rPr>
            </w:pPr>
            <w:r>
              <w:rPr>
                <w:rFonts w:eastAsia="Times New Roman" w:cs="Calibri"/>
                <w:b/>
                <w:bCs/>
                <w:color w:val="000000"/>
                <w:sz w:val="20"/>
                <w:szCs w:val="20"/>
                <w:lang w:val="en-US" w:eastAsia="el-GR"/>
              </w:rPr>
              <w:t>1.283.156</w:t>
            </w:r>
          </w:p>
        </w:tc>
        <w:tc>
          <w:tcPr>
            <w:tcW w:w="1389" w:type="dxa"/>
            <w:tcBorders>
              <w:top w:val="nil"/>
              <w:left w:val="nil"/>
              <w:bottom w:val="nil"/>
              <w:right w:val="nil"/>
            </w:tcBorders>
            <w:shd w:val="clear" w:color="000000" w:fill="DBEEF3"/>
            <w:noWrap/>
            <w:vAlign w:val="bottom"/>
            <w:hideMark/>
          </w:tcPr>
          <w:p w:rsidR="004769C6" w:rsidRPr="00DA5287" w:rsidRDefault="00DA5287" w:rsidP="00BE6396">
            <w:pPr>
              <w:spacing w:after="0" w:line="240" w:lineRule="auto"/>
              <w:jc w:val="center"/>
              <w:rPr>
                <w:rFonts w:eastAsia="Times New Roman" w:cs="Calibri"/>
                <w:b/>
                <w:bCs/>
                <w:color w:val="000000"/>
                <w:sz w:val="20"/>
                <w:szCs w:val="20"/>
                <w:lang w:val="en-US" w:eastAsia="el-GR"/>
              </w:rPr>
            </w:pPr>
            <w:r>
              <w:rPr>
                <w:rFonts w:eastAsia="Times New Roman" w:cs="Calibri"/>
                <w:b/>
                <w:bCs/>
                <w:color w:val="000000"/>
                <w:sz w:val="20"/>
                <w:szCs w:val="20"/>
                <w:lang w:val="en-US" w:eastAsia="el-GR"/>
              </w:rPr>
              <w:t>1.281.115</w:t>
            </w:r>
          </w:p>
        </w:tc>
        <w:tc>
          <w:tcPr>
            <w:tcW w:w="1320" w:type="dxa"/>
            <w:tcBorders>
              <w:top w:val="nil"/>
              <w:left w:val="nil"/>
              <w:bottom w:val="nil"/>
              <w:right w:val="nil"/>
            </w:tcBorders>
            <w:shd w:val="clear" w:color="000000" w:fill="DBEEF3"/>
            <w:noWrap/>
            <w:vAlign w:val="bottom"/>
            <w:hideMark/>
          </w:tcPr>
          <w:p w:rsidR="004769C6" w:rsidRPr="005B28EF" w:rsidRDefault="00B900A5" w:rsidP="00E547C3">
            <w:pPr>
              <w:spacing w:after="0" w:line="240" w:lineRule="auto"/>
              <w:jc w:val="center"/>
              <w:rPr>
                <w:rFonts w:eastAsia="Times New Roman" w:cs="Calibri"/>
                <w:b/>
                <w:bCs/>
                <w:color w:val="000000"/>
                <w:sz w:val="20"/>
                <w:szCs w:val="20"/>
                <w:lang w:eastAsia="el-GR"/>
              </w:rPr>
            </w:pPr>
            <w:r>
              <w:rPr>
                <w:rFonts w:eastAsia="Times New Roman" w:cs="Calibri"/>
                <w:b/>
                <w:bCs/>
                <w:color w:val="000000"/>
                <w:sz w:val="20"/>
                <w:szCs w:val="20"/>
                <w:lang w:eastAsia="el-GR"/>
              </w:rPr>
              <w:fldChar w:fldCharType="begin"/>
            </w:r>
            <w:r w:rsidR="00DA5287">
              <w:rPr>
                <w:rFonts w:eastAsia="Times New Roman" w:cs="Calibri"/>
                <w:b/>
                <w:bCs/>
                <w:color w:val="000000"/>
                <w:sz w:val="20"/>
                <w:szCs w:val="20"/>
                <w:lang w:eastAsia="el-GR"/>
              </w:rPr>
              <w:instrText xml:space="preserve"> =c25-d25 \# "#.##0" </w:instrText>
            </w:r>
            <w:r>
              <w:rPr>
                <w:rFonts w:eastAsia="Times New Roman" w:cs="Calibri"/>
                <w:b/>
                <w:bCs/>
                <w:color w:val="000000"/>
                <w:sz w:val="20"/>
                <w:szCs w:val="20"/>
                <w:lang w:eastAsia="el-GR"/>
              </w:rPr>
              <w:fldChar w:fldCharType="separate"/>
            </w:r>
            <w:r w:rsidR="00DA5287">
              <w:rPr>
                <w:rFonts w:eastAsia="Times New Roman" w:cs="Calibri"/>
                <w:b/>
                <w:bCs/>
                <w:noProof/>
                <w:color w:val="000000"/>
                <w:sz w:val="20"/>
                <w:szCs w:val="20"/>
                <w:lang w:eastAsia="el-GR"/>
              </w:rPr>
              <w:t>2.041</w:t>
            </w:r>
            <w:r>
              <w:rPr>
                <w:rFonts w:eastAsia="Times New Roman" w:cs="Calibri"/>
                <w:b/>
                <w:bCs/>
                <w:color w:val="000000"/>
                <w:sz w:val="20"/>
                <w:szCs w:val="20"/>
                <w:lang w:eastAsia="el-GR"/>
              </w:rPr>
              <w:fldChar w:fldCharType="end"/>
            </w:r>
          </w:p>
        </w:tc>
      </w:tr>
      <w:tr w:rsidR="004769C6" w:rsidRPr="005B28EF" w:rsidTr="001848EB">
        <w:trPr>
          <w:trHeight w:val="300"/>
        </w:trPr>
        <w:tc>
          <w:tcPr>
            <w:tcW w:w="726" w:type="dxa"/>
            <w:tcBorders>
              <w:top w:val="nil"/>
              <w:left w:val="nil"/>
              <w:bottom w:val="nil"/>
              <w:right w:val="nil"/>
            </w:tcBorders>
            <w:shd w:val="clear" w:color="000000" w:fill="4BACC6"/>
            <w:noWrap/>
            <w:vAlign w:val="bottom"/>
            <w:hideMark/>
          </w:tcPr>
          <w:p w:rsidR="004769C6" w:rsidRPr="005B28EF" w:rsidRDefault="004769C6"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 </w:t>
            </w:r>
          </w:p>
        </w:tc>
        <w:tc>
          <w:tcPr>
            <w:tcW w:w="2926" w:type="dxa"/>
            <w:tcBorders>
              <w:top w:val="nil"/>
              <w:left w:val="nil"/>
              <w:bottom w:val="nil"/>
              <w:right w:val="nil"/>
            </w:tcBorders>
            <w:shd w:val="clear" w:color="000000" w:fill="4BACC6"/>
            <w:noWrap/>
            <w:vAlign w:val="bottom"/>
            <w:hideMark/>
          </w:tcPr>
          <w:p w:rsidR="004769C6" w:rsidRPr="005B28EF" w:rsidRDefault="004769C6" w:rsidP="00E547C3">
            <w:pPr>
              <w:spacing w:after="0" w:line="240" w:lineRule="auto"/>
              <w:jc w:val="center"/>
              <w:rPr>
                <w:rFonts w:eastAsia="Times New Roman" w:cs="Calibri"/>
                <w:b/>
                <w:bCs/>
                <w:color w:val="FFFFFF"/>
                <w:sz w:val="20"/>
                <w:szCs w:val="20"/>
                <w:lang w:eastAsia="el-GR"/>
              </w:rPr>
            </w:pPr>
            <w:r w:rsidRPr="005B28EF">
              <w:rPr>
                <w:rFonts w:eastAsia="Times New Roman" w:cs="Calibri"/>
                <w:b/>
                <w:bCs/>
                <w:color w:val="FFFFFF"/>
                <w:sz w:val="20"/>
                <w:szCs w:val="20"/>
                <w:lang w:eastAsia="el-GR"/>
              </w:rPr>
              <w:t>Σύνολα δαπανών</w:t>
            </w:r>
          </w:p>
        </w:tc>
        <w:tc>
          <w:tcPr>
            <w:tcW w:w="1540" w:type="dxa"/>
            <w:tcBorders>
              <w:top w:val="nil"/>
              <w:left w:val="nil"/>
              <w:bottom w:val="nil"/>
              <w:right w:val="nil"/>
            </w:tcBorders>
            <w:shd w:val="clear" w:color="000000" w:fill="4BACC6"/>
            <w:noWrap/>
            <w:vAlign w:val="bottom"/>
            <w:hideMark/>
          </w:tcPr>
          <w:p w:rsidR="004769C6" w:rsidRPr="000C3D7C" w:rsidRDefault="00B900A5" w:rsidP="00BE6396">
            <w:pPr>
              <w:spacing w:after="0" w:line="240" w:lineRule="auto"/>
              <w:jc w:val="center"/>
              <w:rPr>
                <w:rFonts w:eastAsia="Times New Roman" w:cs="Calibri"/>
                <w:b/>
                <w:bCs/>
                <w:color w:val="FFFFFF"/>
                <w:sz w:val="20"/>
                <w:szCs w:val="20"/>
                <w:lang w:eastAsia="el-GR"/>
              </w:rPr>
            </w:pPr>
            <w:r>
              <w:rPr>
                <w:rFonts w:eastAsia="Times New Roman" w:cs="Calibri"/>
                <w:b/>
                <w:bCs/>
                <w:color w:val="FFFFFF"/>
                <w:sz w:val="20"/>
                <w:szCs w:val="20"/>
                <w:lang w:eastAsia="el-GR"/>
              </w:rPr>
              <w:fldChar w:fldCharType="begin"/>
            </w:r>
            <w:r w:rsidR="003A41ED">
              <w:rPr>
                <w:rFonts w:eastAsia="Times New Roman" w:cs="Calibri"/>
                <w:b/>
                <w:bCs/>
                <w:color w:val="FFFFFF"/>
                <w:sz w:val="20"/>
                <w:szCs w:val="20"/>
                <w:lang w:eastAsia="el-GR"/>
              </w:rPr>
              <w:instrText xml:space="preserve"> =c2+c4+c12+c16+c21+c23+c25 \# "#.##0" </w:instrText>
            </w:r>
            <w:r>
              <w:rPr>
                <w:rFonts w:eastAsia="Times New Roman" w:cs="Calibri"/>
                <w:b/>
                <w:bCs/>
                <w:color w:val="FFFFFF"/>
                <w:sz w:val="20"/>
                <w:szCs w:val="20"/>
                <w:lang w:eastAsia="el-GR"/>
              </w:rPr>
              <w:fldChar w:fldCharType="separate"/>
            </w:r>
            <w:r w:rsidR="003A41ED">
              <w:rPr>
                <w:rFonts w:eastAsia="Times New Roman" w:cs="Calibri"/>
                <w:b/>
                <w:bCs/>
                <w:noProof/>
                <w:color w:val="FFFFFF"/>
                <w:sz w:val="20"/>
                <w:szCs w:val="20"/>
                <w:lang w:eastAsia="el-GR"/>
              </w:rPr>
              <w:t>26.127.267</w:t>
            </w:r>
            <w:r>
              <w:rPr>
                <w:rFonts w:eastAsia="Times New Roman" w:cs="Calibri"/>
                <w:b/>
                <w:bCs/>
                <w:color w:val="FFFFFF"/>
                <w:sz w:val="20"/>
                <w:szCs w:val="20"/>
                <w:lang w:eastAsia="el-GR"/>
              </w:rPr>
              <w:fldChar w:fldCharType="end"/>
            </w:r>
          </w:p>
        </w:tc>
        <w:tc>
          <w:tcPr>
            <w:tcW w:w="1389" w:type="dxa"/>
            <w:tcBorders>
              <w:top w:val="nil"/>
              <w:left w:val="nil"/>
              <w:bottom w:val="nil"/>
              <w:right w:val="nil"/>
            </w:tcBorders>
            <w:shd w:val="clear" w:color="000000" w:fill="4BACC6"/>
            <w:noWrap/>
            <w:vAlign w:val="bottom"/>
            <w:hideMark/>
          </w:tcPr>
          <w:p w:rsidR="004769C6" w:rsidRPr="000C3D7C" w:rsidRDefault="00B900A5" w:rsidP="00BE6396">
            <w:pPr>
              <w:spacing w:after="0" w:line="240" w:lineRule="auto"/>
              <w:jc w:val="center"/>
              <w:rPr>
                <w:rFonts w:eastAsia="Times New Roman" w:cs="Calibri"/>
                <w:b/>
                <w:bCs/>
                <w:color w:val="FFFFFF"/>
                <w:sz w:val="20"/>
                <w:szCs w:val="20"/>
                <w:lang w:eastAsia="el-GR"/>
              </w:rPr>
            </w:pPr>
            <w:r>
              <w:rPr>
                <w:rFonts w:eastAsia="Times New Roman" w:cs="Calibri"/>
                <w:b/>
                <w:bCs/>
                <w:color w:val="FFFFFF"/>
                <w:sz w:val="20"/>
                <w:szCs w:val="20"/>
                <w:lang w:eastAsia="el-GR"/>
              </w:rPr>
              <w:fldChar w:fldCharType="begin"/>
            </w:r>
            <w:r w:rsidR="003A41ED">
              <w:rPr>
                <w:rFonts w:eastAsia="Times New Roman" w:cs="Calibri"/>
                <w:b/>
                <w:bCs/>
                <w:color w:val="FFFFFF"/>
                <w:sz w:val="20"/>
                <w:szCs w:val="20"/>
                <w:lang w:eastAsia="el-GR"/>
              </w:rPr>
              <w:instrText xml:space="preserve"> =d2+d4+d12+d16+d21+d23+d25 \# "#.##0" </w:instrText>
            </w:r>
            <w:r>
              <w:rPr>
                <w:rFonts w:eastAsia="Times New Roman" w:cs="Calibri"/>
                <w:b/>
                <w:bCs/>
                <w:color w:val="FFFFFF"/>
                <w:sz w:val="20"/>
                <w:szCs w:val="20"/>
                <w:lang w:eastAsia="el-GR"/>
              </w:rPr>
              <w:fldChar w:fldCharType="separate"/>
            </w:r>
            <w:r w:rsidR="003A41ED">
              <w:rPr>
                <w:rFonts w:eastAsia="Times New Roman" w:cs="Calibri"/>
                <w:b/>
                <w:bCs/>
                <w:noProof/>
                <w:color w:val="FFFFFF"/>
                <w:sz w:val="20"/>
                <w:szCs w:val="20"/>
                <w:lang w:eastAsia="el-GR"/>
              </w:rPr>
              <w:t>24.581.292</w:t>
            </w:r>
            <w:r>
              <w:rPr>
                <w:rFonts w:eastAsia="Times New Roman" w:cs="Calibri"/>
                <w:b/>
                <w:bCs/>
                <w:color w:val="FFFFFF"/>
                <w:sz w:val="20"/>
                <w:szCs w:val="20"/>
                <w:lang w:eastAsia="el-GR"/>
              </w:rPr>
              <w:fldChar w:fldCharType="end"/>
            </w:r>
          </w:p>
        </w:tc>
        <w:tc>
          <w:tcPr>
            <w:tcW w:w="1320" w:type="dxa"/>
            <w:tcBorders>
              <w:top w:val="nil"/>
              <w:left w:val="nil"/>
              <w:bottom w:val="nil"/>
              <w:right w:val="nil"/>
            </w:tcBorders>
            <w:shd w:val="clear" w:color="000000" w:fill="4BACC6"/>
            <w:noWrap/>
            <w:vAlign w:val="bottom"/>
            <w:hideMark/>
          </w:tcPr>
          <w:p w:rsidR="004769C6" w:rsidRPr="005B28EF" w:rsidRDefault="00B900A5" w:rsidP="00E547C3">
            <w:pPr>
              <w:spacing w:after="0" w:line="240" w:lineRule="auto"/>
              <w:jc w:val="center"/>
              <w:rPr>
                <w:rFonts w:eastAsia="Times New Roman" w:cs="Calibri"/>
                <w:b/>
                <w:bCs/>
                <w:color w:val="FFFFFF"/>
                <w:sz w:val="20"/>
                <w:szCs w:val="20"/>
                <w:lang w:eastAsia="el-GR"/>
              </w:rPr>
            </w:pPr>
            <w:r>
              <w:rPr>
                <w:rFonts w:eastAsia="Times New Roman" w:cs="Calibri"/>
                <w:b/>
                <w:bCs/>
                <w:color w:val="FFFFFF"/>
                <w:sz w:val="20"/>
                <w:szCs w:val="20"/>
                <w:lang w:eastAsia="el-GR"/>
              </w:rPr>
              <w:fldChar w:fldCharType="begin"/>
            </w:r>
            <w:r w:rsidR="003A41ED">
              <w:rPr>
                <w:rFonts w:eastAsia="Times New Roman" w:cs="Calibri"/>
                <w:b/>
                <w:bCs/>
                <w:color w:val="FFFFFF"/>
                <w:sz w:val="20"/>
                <w:szCs w:val="20"/>
                <w:lang w:eastAsia="el-GR"/>
              </w:rPr>
              <w:instrText xml:space="preserve"> =e2+e4+e12+e16+e21+e23+e25 \# "#.##0" </w:instrText>
            </w:r>
            <w:r>
              <w:rPr>
                <w:rFonts w:eastAsia="Times New Roman" w:cs="Calibri"/>
                <w:b/>
                <w:bCs/>
                <w:color w:val="FFFFFF"/>
                <w:sz w:val="20"/>
                <w:szCs w:val="20"/>
                <w:lang w:eastAsia="el-GR"/>
              </w:rPr>
              <w:fldChar w:fldCharType="separate"/>
            </w:r>
            <w:r w:rsidR="003A41ED">
              <w:rPr>
                <w:rFonts w:eastAsia="Times New Roman" w:cs="Calibri"/>
                <w:b/>
                <w:bCs/>
                <w:noProof/>
                <w:color w:val="FFFFFF"/>
                <w:sz w:val="20"/>
                <w:szCs w:val="20"/>
                <w:lang w:eastAsia="el-GR"/>
              </w:rPr>
              <w:t>1.545.975</w:t>
            </w:r>
            <w:r>
              <w:rPr>
                <w:rFonts w:eastAsia="Times New Roman" w:cs="Calibri"/>
                <w:b/>
                <w:bCs/>
                <w:color w:val="FFFFFF"/>
                <w:sz w:val="20"/>
                <w:szCs w:val="20"/>
                <w:lang w:eastAsia="el-GR"/>
              </w:rPr>
              <w:fldChar w:fldCharType="end"/>
            </w:r>
          </w:p>
        </w:tc>
      </w:tr>
    </w:tbl>
    <w:p w:rsidR="000E4333" w:rsidRDefault="000E4333" w:rsidP="00D934F9">
      <w:pPr>
        <w:spacing w:after="0" w:line="360" w:lineRule="auto"/>
        <w:jc w:val="both"/>
      </w:pPr>
    </w:p>
    <w:p w:rsidR="00D934F9" w:rsidRDefault="00D934F9" w:rsidP="00D934F9">
      <w:pPr>
        <w:spacing w:after="0" w:line="360" w:lineRule="auto"/>
        <w:jc w:val="both"/>
      </w:pPr>
      <w:r>
        <w:t xml:space="preserve">Με δεδομένα τα όσα έχουν περιγραφεί τόσο στο σκέλος των εσόδων όσο και στο σκέλος των εξόδων για την περίοδο «Ιανουάριος – </w:t>
      </w:r>
      <w:r w:rsidR="003A41ED">
        <w:t>Ιούν</w:t>
      </w:r>
      <w:r w:rsidR="00626A6C">
        <w:t>ιος</w:t>
      </w:r>
      <w:r>
        <w:t xml:space="preserve"> 201</w:t>
      </w:r>
      <w:r w:rsidR="00626A6C">
        <w:t>5</w:t>
      </w:r>
      <w:r>
        <w:t xml:space="preserve">» με βάση την στοχοθεσία και τη εκτέλεση του προϋπολογισμού το αντίστοιχο διάστημα, προκύπτει ο γενικός δείκτης επίτευξης </w:t>
      </w:r>
      <w:proofErr w:type="spellStart"/>
      <w:r>
        <w:t>στοχοθεσίας</w:t>
      </w:r>
      <w:proofErr w:type="spellEnd"/>
      <w:r>
        <w:t xml:space="preserve"> (κριτήριο </w:t>
      </w:r>
      <w:proofErr w:type="spellStart"/>
      <w:r>
        <w:t>αρθ</w:t>
      </w:r>
      <w:proofErr w:type="spellEnd"/>
      <w:r>
        <w:t xml:space="preserve">. 2 ΚΥΑ 7261/13 ΦΕΚ </w:t>
      </w:r>
      <w:r w:rsidR="001848EB">
        <w:t>Β</w:t>
      </w:r>
      <w:r>
        <w:t xml:space="preserve"> 450/13).</w:t>
      </w:r>
    </w:p>
    <w:tbl>
      <w:tblPr>
        <w:tblW w:w="9748" w:type="dxa"/>
        <w:tblInd w:w="-601" w:type="dxa"/>
        <w:tblLook w:val="04A0"/>
      </w:tblPr>
      <w:tblGrid>
        <w:gridCol w:w="2127"/>
        <w:gridCol w:w="1298"/>
        <w:gridCol w:w="1298"/>
        <w:gridCol w:w="1299"/>
        <w:gridCol w:w="1299"/>
        <w:gridCol w:w="1352"/>
        <w:gridCol w:w="1075"/>
      </w:tblGrid>
      <w:tr w:rsidR="00D37EE1" w:rsidRPr="00D37EE1" w:rsidTr="00D37EE1">
        <w:trPr>
          <w:trHeight w:val="600"/>
        </w:trPr>
        <w:tc>
          <w:tcPr>
            <w:tcW w:w="9748" w:type="dxa"/>
            <w:gridSpan w:val="7"/>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Έλεγχος αποτελεσμάτων για την περίοδο «Ιανουάριος – Ιούνιος 2015»</w:t>
            </w:r>
          </w:p>
        </w:tc>
      </w:tr>
      <w:tr w:rsidR="00D37EE1" w:rsidRPr="00D37EE1" w:rsidTr="00D37EE1">
        <w:trPr>
          <w:trHeight w:val="300"/>
        </w:trPr>
        <w:tc>
          <w:tcPr>
            <w:tcW w:w="2127"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Α/Α Στήλης</w:t>
            </w:r>
          </w:p>
        </w:tc>
        <w:tc>
          <w:tcPr>
            <w:tcW w:w="1298"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1</w:t>
            </w:r>
          </w:p>
        </w:tc>
        <w:tc>
          <w:tcPr>
            <w:tcW w:w="1298"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2</w:t>
            </w:r>
          </w:p>
        </w:tc>
        <w:tc>
          <w:tcPr>
            <w:tcW w:w="1299"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3</w:t>
            </w:r>
          </w:p>
        </w:tc>
        <w:tc>
          <w:tcPr>
            <w:tcW w:w="1299"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4</w:t>
            </w:r>
          </w:p>
        </w:tc>
        <w:tc>
          <w:tcPr>
            <w:tcW w:w="1352"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5</w:t>
            </w:r>
          </w:p>
        </w:tc>
        <w:tc>
          <w:tcPr>
            <w:tcW w:w="1075"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6</w:t>
            </w:r>
          </w:p>
        </w:tc>
      </w:tr>
      <w:tr w:rsidR="00D37EE1" w:rsidRPr="00D37EE1" w:rsidTr="00D37EE1">
        <w:trPr>
          <w:trHeight w:val="592"/>
        </w:trPr>
        <w:tc>
          <w:tcPr>
            <w:tcW w:w="2127"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ΣΤΟΙΧΕΙΑ</w:t>
            </w:r>
          </w:p>
        </w:tc>
        <w:tc>
          <w:tcPr>
            <w:tcW w:w="1298"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ΓΡΑΜΜΗ ΟΠΔ «ΙΔΙΑ ΕΣΟΔΑ»</w:t>
            </w:r>
          </w:p>
        </w:tc>
        <w:tc>
          <w:tcPr>
            <w:tcW w:w="1298"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ΓΡΑΜΜΗ ΟΠΔ «ΕΣΟΔΑ ΠΟΕ»</w:t>
            </w:r>
          </w:p>
        </w:tc>
        <w:tc>
          <w:tcPr>
            <w:tcW w:w="1299"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ΓΡΑΜΜΗ ΟΠΔ ¨ΣΥΝΟΛΟ ΕΣΟΔΩΝ»</w:t>
            </w:r>
          </w:p>
        </w:tc>
        <w:tc>
          <w:tcPr>
            <w:tcW w:w="1299"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ΓΡΑΜΜΗ ΟΠΔ ¨ΣΥΝΟΛΟ ΕΞΟΔΩΝ»</w:t>
            </w:r>
          </w:p>
        </w:tc>
        <w:tc>
          <w:tcPr>
            <w:tcW w:w="1352"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ΓΡΑΜΜΗ ΟΠΔ «ΑΠΛΗΡΩΤΕΣ ΥΠΟΧΡΕΩΣΕΙΣ»</w:t>
            </w:r>
          </w:p>
        </w:tc>
        <w:tc>
          <w:tcPr>
            <w:tcW w:w="1075" w:type="dxa"/>
            <w:tcBorders>
              <w:top w:val="nil"/>
              <w:left w:val="nil"/>
              <w:bottom w:val="nil"/>
              <w:right w:val="nil"/>
            </w:tcBorders>
            <w:shd w:val="clear" w:color="000000" w:fill="4BACC6"/>
            <w:vAlign w:val="bottom"/>
            <w:hideMark/>
          </w:tcPr>
          <w:p w:rsidR="00D37EE1" w:rsidRPr="00D37EE1" w:rsidRDefault="00D37EE1" w:rsidP="00D37EE1">
            <w:pPr>
              <w:spacing w:after="0" w:line="240" w:lineRule="auto"/>
              <w:jc w:val="center"/>
              <w:rPr>
                <w:rFonts w:eastAsia="Times New Roman" w:cs="Calibri"/>
                <w:b/>
                <w:bCs/>
                <w:color w:val="FFFFFF"/>
                <w:sz w:val="18"/>
                <w:szCs w:val="18"/>
                <w:lang w:eastAsia="el-GR"/>
              </w:rPr>
            </w:pPr>
            <w:r w:rsidRPr="00D37EE1">
              <w:rPr>
                <w:rFonts w:eastAsia="Times New Roman" w:cs="Calibri"/>
                <w:b/>
                <w:bCs/>
                <w:color w:val="FFFFFF"/>
                <w:sz w:val="18"/>
                <w:szCs w:val="18"/>
                <w:lang w:eastAsia="el-GR"/>
              </w:rPr>
              <w:t>Κριτήριο αρθ.2 ΚΥΑ 7261/13 (3+4+5)</w:t>
            </w:r>
          </w:p>
        </w:tc>
      </w:tr>
      <w:tr w:rsidR="00D37EE1" w:rsidRPr="00D37EE1" w:rsidTr="00D37EE1">
        <w:trPr>
          <w:trHeight w:val="371"/>
        </w:trPr>
        <w:tc>
          <w:tcPr>
            <w:tcW w:w="2127"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rPr>
                <w:rFonts w:eastAsia="Times New Roman" w:cs="Calibri"/>
                <w:color w:val="000000"/>
                <w:sz w:val="18"/>
                <w:szCs w:val="18"/>
                <w:lang w:eastAsia="el-GR"/>
              </w:rPr>
            </w:pPr>
            <w:r w:rsidRPr="00D37EE1">
              <w:rPr>
                <w:rFonts w:eastAsia="Times New Roman" w:cs="Calibri"/>
                <w:color w:val="000000"/>
                <w:sz w:val="18"/>
                <w:szCs w:val="18"/>
                <w:lang w:eastAsia="el-GR"/>
              </w:rPr>
              <w:t>Στόχος ΙΑΝ-ΙΟΥΝ 2015</w:t>
            </w:r>
          </w:p>
        </w:tc>
        <w:tc>
          <w:tcPr>
            <w:tcW w:w="1298"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3.596.640</w:t>
            </w:r>
          </w:p>
        </w:tc>
        <w:tc>
          <w:tcPr>
            <w:tcW w:w="1298"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1.854.562</w:t>
            </w:r>
          </w:p>
        </w:tc>
        <w:tc>
          <w:tcPr>
            <w:tcW w:w="1299"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32.149.498</w:t>
            </w:r>
          </w:p>
        </w:tc>
        <w:tc>
          <w:tcPr>
            <w:tcW w:w="1299"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30.444.515</w:t>
            </w:r>
          </w:p>
        </w:tc>
        <w:tc>
          <w:tcPr>
            <w:tcW w:w="1352"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1.650.000</w:t>
            </w:r>
          </w:p>
        </w:tc>
        <w:tc>
          <w:tcPr>
            <w:tcW w:w="1075"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 </w:t>
            </w:r>
          </w:p>
        </w:tc>
      </w:tr>
      <w:tr w:rsidR="00D37EE1" w:rsidRPr="00D37EE1" w:rsidTr="00D37EE1">
        <w:trPr>
          <w:trHeight w:val="321"/>
        </w:trPr>
        <w:tc>
          <w:tcPr>
            <w:tcW w:w="2127" w:type="dxa"/>
            <w:tcBorders>
              <w:top w:val="nil"/>
              <w:left w:val="nil"/>
              <w:bottom w:val="nil"/>
              <w:right w:val="nil"/>
            </w:tcBorders>
            <w:shd w:val="clear" w:color="auto" w:fill="auto"/>
            <w:vAlign w:val="bottom"/>
            <w:hideMark/>
          </w:tcPr>
          <w:p w:rsidR="00D37EE1" w:rsidRDefault="00D37EE1" w:rsidP="00D37EE1">
            <w:pPr>
              <w:spacing w:after="0" w:line="240" w:lineRule="auto"/>
              <w:rPr>
                <w:rFonts w:eastAsia="Times New Roman" w:cs="Calibri"/>
                <w:color w:val="000000"/>
                <w:sz w:val="18"/>
                <w:szCs w:val="18"/>
                <w:lang w:eastAsia="el-GR"/>
              </w:rPr>
            </w:pPr>
            <w:r w:rsidRPr="00D37EE1">
              <w:rPr>
                <w:rFonts w:eastAsia="Times New Roman" w:cs="Calibri"/>
                <w:color w:val="000000"/>
                <w:sz w:val="18"/>
                <w:szCs w:val="18"/>
                <w:lang w:eastAsia="el-GR"/>
              </w:rPr>
              <w:t>Εκτέλεση Π/Υ</w:t>
            </w:r>
          </w:p>
          <w:p w:rsidR="00D37EE1" w:rsidRPr="00D37EE1" w:rsidRDefault="00D37EE1" w:rsidP="00D37EE1">
            <w:pPr>
              <w:spacing w:after="0" w:line="240" w:lineRule="auto"/>
              <w:rPr>
                <w:rFonts w:eastAsia="Times New Roman" w:cs="Calibri"/>
                <w:color w:val="000000"/>
                <w:sz w:val="18"/>
                <w:szCs w:val="18"/>
                <w:lang w:eastAsia="el-GR"/>
              </w:rPr>
            </w:pPr>
            <w:r w:rsidRPr="00D37EE1">
              <w:rPr>
                <w:rFonts w:eastAsia="Times New Roman" w:cs="Calibri"/>
                <w:color w:val="000000"/>
                <w:sz w:val="18"/>
                <w:szCs w:val="18"/>
                <w:lang w:eastAsia="el-GR"/>
              </w:rPr>
              <w:t xml:space="preserve"> ΙΑΝ-ΙΟΥΝ 2015</w:t>
            </w:r>
          </w:p>
        </w:tc>
        <w:tc>
          <w:tcPr>
            <w:tcW w:w="1298"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3.013.704</w:t>
            </w:r>
          </w:p>
        </w:tc>
        <w:tc>
          <w:tcPr>
            <w:tcW w:w="1298"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1.649.342</w:t>
            </w:r>
          </w:p>
        </w:tc>
        <w:tc>
          <w:tcPr>
            <w:tcW w:w="1299"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30.510.093</w:t>
            </w:r>
          </w:p>
        </w:tc>
        <w:tc>
          <w:tcPr>
            <w:tcW w:w="1299"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24.581.297</w:t>
            </w:r>
          </w:p>
        </w:tc>
        <w:tc>
          <w:tcPr>
            <w:tcW w:w="1352"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1.545.974</w:t>
            </w:r>
          </w:p>
        </w:tc>
        <w:tc>
          <w:tcPr>
            <w:tcW w:w="1075"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p>
        </w:tc>
      </w:tr>
      <w:tr w:rsidR="00D37EE1" w:rsidRPr="00D37EE1" w:rsidTr="00D37EE1">
        <w:trPr>
          <w:trHeight w:val="509"/>
        </w:trPr>
        <w:tc>
          <w:tcPr>
            <w:tcW w:w="2127"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rPr>
                <w:rFonts w:eastAsia="Times New Roman" w:cs="Calibri"/>
                <w:color w:val="000000"/>
                <w:sz w:val="18"/>
                <w:szCs w:val="18"/>
                <w:lang w:eastAsia="el-GR"/>
              </w:rPr>
            </w:pPr>
            <w:r w:rsidRPr="00D37EE1">
              <w:rPr>
                <w:rFonts w:eastAsia="Times New Roman" w:cs="Calibri"/>
                <w:color w:val="000000"/>
                <w:sz w:val="18"/>
                <w:szCs w:val="18"/>
                <w:lang w:eastAsia="el-GR"/>
              </w:rPr>
              <w:t>Ποσό απόκλισης εκτέλεσης από στόχο ΙΑΝ-ΙΟΥΝ 2015</w:t>
            </w:r>
          </w:p>
        </w:tc>
        <w:tc>
          <w:tcPr>
            <w:tcW w:w="1298"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-582.936</w:t>
            </w:r>
          </w:p>
        </w:tc>
        <w:tc>
          <w:tcPr>
            <w:tcW w:w="1298"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-205.220</w:t>
            </w:r>
          </w:p>
        </w:tc>
        <w:tc>
          <w:tcPr>
            <w:tcW w:w="1299"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-1.639.406</w:t>
            </w:r>
          </w:p>
        </w:tc>
        <w:tc>
          <w:tcPr>
            <w:tcW w:w="1299"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5.863.218</w:t>
            </w:r>
          </w:p>
        </w:tc>
        <w:tc>
          <w:tcPr>
            <w:tcW w:w="1352"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0</w:t>
            </w:r>
          </w:p>
        </w:tc>
        <w:tc>
          <w:tcPr>
            <w:tcW w:w="1075" w:type="dxa"/>
            <w:tcBorders>
              <w:top w:val="nil"/>
              <w:left w:val="nil"/>
              <w:bottom w:val="nil"/>
              <w:right w:val="nil"/>
            </w:tcBorders>
            <w:shd w:val="clear" w:color="000000" w:fill="B6DDE8"/>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4.223.813</w:t>
            </w:r>
          </w:p>
        </w:tc>
      </w:tr>
      <w:tr w:rsidR="00D37EE1" w:rsidRPr="00D37EE1" w:rsidTr="00D37EE1">
        <w:trPr>
          <w:trHeight w:val="444"/>
        </w:trPr>
        <w:tc>
          <w:tcPr>
            <w:tcW w:w="2127" w:type="dxa"/>
            <w:tcBorders>
              <w:top w:val="nil"/>
              <w:left w:val="nil"/>
              <w:bottom w:val="nil"/>
              <w:right w:val="nil"/>
            </w:tcBorders>
            <w:shd w:val="clear" w:color="auto" w:fill="auto"/>
            <w:vAlign w:val="bottom"/>
            <w:hideMark/>
          </w:tcPr>
          <w:p w:rsidR="00D37EE1" w:rsidRPr="00D37EE1" w:rsidRDefault="00D37EE1" w:rsidP="00D37EE1">
            <w:pPr>
              <w:spacing w:after="0" w:line="240" w:lineRule="auto"/>
              <w:rPr>
                <w:rFonts w:eastAsia="Times New Roman" w:cs="Calibri"/>
                <w:color w:val="000000"/>
                <w:sz w:val="18"/>
                <w:szCs w:val="18"/>
                <w:lang w:eastAsia="el-GR"/>
              </w:rPr>
            </w:pPr>
            <w:r>
              <w:rPr>
                <w:rFonts w:eastAsia="Times New Roman" w:cs="Calibri"/>
                <w:color w:val="000000"/>
                <w:sz w:val="18"/>
                <w:szCs w:val="18"/>
                <w:lang w:eastAsia="el-GR"/>
              </w:rPr>
              <w:t>%</w:t>
            </w:r>
            <w:r w:rsidRPr="00D37EE1">
              <w:rPr>
                <w:rFonts w:eastAsia="Times New Roman" w:cs="Calibri"/>
                <w:color w:val="000000"/>
                <w:sz w:val="18"/>
                <w:szCs w:val="18"/>
                <w:lang w:eastAsia="el-GR"/>
              </w:rPr>
              <w:t xml:space="preserve"> απόκλισης εκτέλεσης από στόχο ΙΑΝ-ΙΟΥΝ 2015</w:t>
            </w:r>
          </w:p>
        </w:tc>
        <w:tc>
          <w:tcPr>
            <w:tcW w:w="1298"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-16,21%</w:t>
            </w:r>
          </w:p>
        </w:tc>
        <w:tc>
          <w:tcPr>
            <w:tcW w:w="1298"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-11,07%</w:t>
            </w:r>
          </w:p>
        </w:tc>
        <w:tc>
          <w:tcPr>
            <w:tcW w:w="1299"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-5,10%</w:t>
            </w:r>
          </w:p>
        </w:tc>
        <w:tc>
          <w:tcPr>
            <w:tcW w:w="1299"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19,26%</w:t>
            </w:r>
          </w:p>
        </w:tc>
        <w:tc>
          <w:tcPr>
            <w:tcW w:w="1352"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0,00%</w:t>
            </w:r>
          </w:p>
        </w:tc>
        <w:tc>
          <w:tcPr>
            <w:tcW w:w="1075" w:type="dxa"/>
            <w:tcBorders>
              <w:top w:val="nil"/>
              <w:left w:val="nil"/>
              <w:bottom w:val="nil"/>
              <w:right w:val="nil"/>
            </w:tcBorders>
            <w:shd w:val="clear" w:color="auto" w:fill="auto"/>
            <w:vAlign w:val="bottom"/>
            <w:hideMark/>
          </w:tcPr>
          <w:p w:rsidR="00D37EE1" w:rsidRPr="00D37EE1" w:rsidRDefault="00D37EE1" w:rsidP="00D37EE1">
            <w:pPr>
              <w:spacing w:after="0" w:line="240" w:lineRule="auto"/>
              <w:jc w:val="right"/>
              <w:rPr>
                <w:rFonts w:eastAsia="Times New Roman" w:cs="Calibri"/>
                <w:color w:val="000000"/>
                <w:sz w:val="18"/>
                <w:szCs w:val="18"/>
                <w:lang w:eastAsia="el-GR"/>
              </w:rPr>
            </w:pPr>
            <w:r w:rsidRPr="00D37EE1">
              <w:rPr>
                <w:rFonts w:eastAsia="Times New Roman" w:cs="Calibri"/>
                <w:color w:val="000000"/>
                <w:sz w:val="18"/>
                <w:szCs w:val="18"/>
                <w:lang w:eastAsia="el-GR"/>
              </w:rPr>
              <w:t>13,14%</w:t>
            </w:r>
          </w:p>
        </w:tc>
      </w:tr>
    </w:tbl>
    <w:p w:rsidR="000C7467" w:rsidRPr="00D37EE1" w:rsidRDefault="000C7467" w:rsidP="00D934F9">
      <w:pPr>
        <w:spacing w:after="0" w:line="360" w:lineRule="auto"/>
        <w:jc w:val="both"/>
        <w:rPr>
          <w:sz w:val="18"/>
          <w:szCs w:val="18"/>
        </w:rPr>
      </w:pPr>
    </w:p>
    <w:p w:rsidR="00447576" w:rsidRDefault="006462E0" w:rsidP="00D934F9">
      <w:pPr>
        <w:spacing w:after="0" w:line="360" w:lineRule="auto"/>
        <w:jc w:val="both"/>
        <w:rPr>
          <w:rFonts w:asciiTheme="minorHAnsi" w:hAnsiTheme="minorHAnsi" w:cstheme="minorHAnsi"/>
        </w:rPr>
      </w:pPr>
      <w:r w:rsidRPr="006462E0">
        <w:t>Ο δείκτης επίτευξης στοχοθεσίας, ο οποίος είναι θετικός (</w:t>
      </w:r>
      <w:r w:rsidR="00497312">
        <w:t>13,</w:t>
      </w:r>
      <w:r w:rsidR="00D37EE1">
        <w:t>14</w:t>
      </w:r>
      <w:r w:rsidRPr="006462E0">
        <w:t xml:space="preserve"> %) όπως φαίνεται και από τον πίνακα ελέγχου αποτελεσμάτων του </w:t>
      </w:r>
      <w:r w:rsidR="00D37EE1">
        <w:t>Β</w:t>
      </w:r>
      <w:r w:rsidR="00497312">
        <w:t>΄ τριμήνου 2015</w:t>
      </w:r>
      <w:r>
        <w:t xml:space="preserve"> </w:t>
      </w:r>
      <w:r w:rsidR="00D934F9">
        <w:t>και κατά τα δεδομένα της στοχοθεσίας</w:t>
      </w:r>
      <w:r w:rsidR="001C1EE0">
        <w:t xml:space="preserve"> όμως</w:t>
      </w:r>
      <w:r w:rsidR="00D934F9">
        <w:t xml:space="preserve">, παρατηρείται σημαντική απόκλιση στα ιδία έσοδα κατά </w:t>
      </w:r>
      <w:r w:rsidR="00FD2AA4" w:rsidRPr="00D37EE1">
        <w:t>-</w:t>
      </w:r>
      <w:r w:rsidR="00D37EE1" w:rsidRPr="00D37EE1">
        <w:t>13,87</w:t>
      </w:r>
      <w:r w:rsidR="00FD2AA4" w:rsidRPr="00D37EE1">
        <w:t>%</w:t>
      </w:r>
      <w:r w:rsidR="00D934F9" w:rsidRPr="00D37EE1">
        <w:t>,</w:t>
      </w:r>
      <w:r w:rsidR="00FD2AA4" w:rsidRPr="00D37EE1">
        <w:t xml:space="preserve"> που αντιστοιχεί στο ποσό των </w:t>
      </w:r>
      <w:r w:rsidR="00D37EE1" w:rsidRPr="00D37EE1">
        <w:t xml:space="preserve">-725.913 </w:t>
      </w:r>
      <w:r w:rsidR="00646D83" w:rsidRPr="00D37EE1">
        <w:t>€,</w:t>
      </w:r>
      <w:r w:rsidR="00D934F9" w:rsidRPr="00D37EE1">
        <w:t xml:space="preserve"> </w:t>
      </w:r>
      <w:r w:rsidR="00D934F9" w:rsidRPr="00447576">
        <w:t xml:space="preserve">γεγονός </w:t>
      </w:r>
      <w:r w:rsidR="007B1BB6" w:rsidRPr="00447576">
        <w:t xml:space="preserve">που </w:t>
      </w:r>
      <w:r w:rsidR="00497312" w:rsidRPr="00447576">
        <w:t>μετριάζεται από το γεγονός ότι η λογιστική τακτοποίηση της απόδοσης εισπρα</w:t>
      </w:r>
      <w:r w:rsidR="00447576" w:rsidRPr="00447576">
        <w:t>ττόμενων τελών που αφορούν στο Β</w:t>
      </w:r>
      <w:r w:rsidR="00497312" w:rsidRPr="00447576">
        <w:t>΄ τρίμηνο του 2015 και αντ</w:t>
      </w:r>
      <w:r w:rsidR="00BE6396" w:rsidRPr="00447576">
        <w:t xml:space="preserve">ιστοιχούν στο ποσό των </w:t>
      </w:r>
      <w:r w:rsidR="00447576" w:rsidRPr="00447576">
        <w:t>201.560</w:t>
      </w:r>
      <w:r w:rsidR="00BE6396" w:rsidRPr="00447576">
        <w:t xml:space="preserve"> €,</w:t>
      </w:r>
      <w:r w:rsidR="00497312" w:rsidRPr="00447576">
        <w:t xml:space="preserve"> θα εμφανιστεί στο </w:t>
      </w:r>
      <w:r w:rsidR="00447576" w:rsidRPr="00447576">
        <w:t>Γ</w:t>
      </w:r>
      <w:r w:rsidR="00497312" w:rsidRPr="00447576">
        <w:t>΄ τρίμηνο</w:t>
      </w:r>
      <w:r w:rsidR="00D934F9" w:rsidRPr="00447576">
        <w:t>.</w:t>
      </w:r>
      <w:r w:rsidR="007B1BB6" w:rsidRPr="00D37EE1">
        <w:rPr>
          <w:color w:val="FF0000"/>
        </w:rPr>
        <w:t xml:space="preserve"> </w:t>
      </w:r>
      <w:r w:rsidR="00BE6396" w:rsidRPr="00D70B57">
        <w:t xml:space="preserve">Επιπρόσθετα </w:t>
      </w:r>
      <w:r w:rsidR="007B1BB6" w:rsidRPr="00D70B57">
        <w:t xml:space="preserve">στις απαιτήσεις παρελθόντων οικονομικών ετών </w:t>
      </w:r>
      <w:r w:rsidR="00BE6396" w:rsidRPr="00D70B57">
        <w:t>υπάρχει απόκλιση της τάξεως των</w:t>
      </w:r>
      <w:r w:rsidR="00BB5819" w:rsidRPr="00D37EE1">
        <w:rPr>
          <w:color w:val="FF0000"/>
        </w:rPr>
        <w:t xml:space="preserve"> </w:t>
      </w:r>
      <w:r w:rsidR="00D70B57" w:rsidRPr="00D70B57">
        <w:rPr>
          <w:rFonts w:asciiTheme="minorHAnsi" w:hAnsiTheme="minorHAnsi" w:cstheme="minorHAnsi"/>
        </w:rPr>
        <w:t xml:space="preserve">63.139 </w:t>
      </w:r>
      <w:r w:rsidR="00BB5819" w:rsidRPr="00D70B57">
        <w:rPr>
          <w:rFonts w:asciiTheme="minorHAnsi" w:hAnsiTheme="minorHAnsi" w:cstheme="minorHAnsi"/>
        </w:rPr>
        <w:t xml:space="preserve">€ και στους Κεντρικούς Αυτοτελείς Πόρους </w:t>
      </w:r>
      <w:r w:rsidR="00D70B57" w:rsidRPr="00D70B57">
        <w:rPr>
          <w:rFonts w:asciiTheme="minorHAnsi" w:hAnsiTheme="minorHAnsi" w:cstheme="minorHAnsi"/>
        </w:rPr>
        <w:t>457.368,</w:t>
      </w:r>
      <w:r w:rsidR="00BB5819" w:rsidRPr="00D70B57">
        <w:rPr>
          <w:rFonts w:asciiTheme="minorHAnsi" w:hAnsiTheme="minorHAnsi" w:cstheme="minorHAnsi"/>
        </w:rPr>
        <w:t xml:space="preserve"> €, ποσά που ανεβάζουν την συνολική υστέρηση εσόδων και απαιτήσεων Π.Ο.Ε. στα </w:t>
      </w:r>
      <w:r w:rsidR="00D70B57" w:rsidRPr="00D70B57">
        <w:rPr>
          <w:rFonts w:asciiTheme="minorHAnsi" w:hAnsiTheme="minorHAnsi" w:cstheme="minorHAnsi"/>
        </w:rPr>
        <w:t>1.246.420</w:t>
      </w:r>
      <w:r w:rsidR="00BB5819" w:rsidRPr="00D70B57">
        <w:rPr>
          <w:rFonts w:asciiTheme="minorHAnsi" w:hAnsiTheme="minorHAnsi" w:cstheme="minorHAnsi"/>
        </w:rPr>
        <w:t xml:space="preserve"> €</w:t>
      </w:r>
      <w:r w:rsidR="00BB5819" w:rsidRPr="00D37EE1">
        <w:rPr>
          <w:rFonts w:asciiTheme="minorHAnsi" w:hAnsiTheme="minorHAnsi" w:cstheme="minorHAnsi"/>
          <w:color w:val="FF0000"/>
        </w:rPr>
        <w:t xml:space="preserve">. </w:t>
      </w:r>
      <w:r w:rsidR="006032B0" w:rsidRPr="0027540B">
        <w:rPr>
          <w:rFonts w:asciiTheme="minorHAnsi" w:hAnsiTheme="minorHAnsi" w:cstheme="minorHAnsi"/>
        </w:rPr>
        <w:t>Στα έσοδα από ΚΑΠ επενδυτικών δαπανών (πρώην ΣΑΤΑ) υπολείπεται μία δόση</w:t>
      </w:r>
      <w:r w:rsidR="00447576">
        <w:rPr>
          <w:rFonts w:asciiTheme="minorHAnsi" w:hAnsiTheme="minorHAnsi" w:cstheme="minorHAnsi"/>
          <w:color w:val="FF0000"/>
        </w:rPr>
        <w:t xml:space="preserve">, </w:t>
      </w:r>
      <w:r w:rsidR="00447576" w:rsidRPr="00447576">
        <w:rPr>
          <w:rFonts w:asciiTheme="minorHAnsi" w:hAnsiTheme="minorHAnsi" w:cstheme="minorHAnsi"/>
        </w:rPr>
        <w:t>βάση στοχοθεσίας</w:t>
      </w:r>
      <w:r w:rsidR="00447576">
        <w:rPr>
          <w:rFonts w:asciiTheme="minorHAnsi" w:hAnsiTheme="minorHAnsi" w:cstheme="minorHAnsi"/>
        </w:rPr>
        <w:t>.</w:t>
      </w:r>
    </w:p>
    <w:p w:rsidR="006032B0" w:rsidRDefault="006032B0" w:rsidP="00D934F9">
      <w:pPr>
        <w:spacing w:after="0" w:line="360" w:lineRule="auto"/>
        <w:jc w:val="both"/>
      </w:pPr>
      <w:r w:rsidRPr="006032B0">
        <w:t>Σημαντική υστέρηση μεταξύ εισπραχθέντων – στόχου παρατηρείται και στις Επιχορηγήσεις για επενδυτικές δαπάνες, και προτείνεται η τακτοποίηση προϋπολογιστικά του ύψους των ανεκτέλεστων  γεγονός όμως που δεν επηρεάζει ουσιαστικά τα ίδια έσοδα.</w:t>
      </w:r>
    </w:p>
    <w:p w:rsidR="006032B0" w:rsidRDefault="006032B0" w:rsidP="00D934F9">
      <w:pPr>
        <w:spacing w:after="0" w:line="360" w:lineRule="auto"/>
        <w:jc w:val="both"/>
      </w:pPr>
      <w:r w:rsidRPr="006032B0">
        <w:t xml:space="preserve">Συμπερασματικά με δεδομένα όσα αναφέρονται στα προηγούμενο εδάφιο είναι απαραίτητη </w:t>
      </w:r>
      <w:r>
        <w:t>η αναμόρφωση του προϋπολογισμού στους Κ.Α. που αφορούν χρηματοδοτούμενα έργα και στο ύψος των ανεκ</w:t>
      </w:r>
      <w:r w:rsidR="002F3307">
        <w:t>τ</w:t>
      </w:r>
      <w:r>
        <w:t>έλεστων τόσο στο σκέλος των εσόδων όσο και σ</w:t>
      </w:r>
      <w:r w:rsidR="003D70BA">
        <w:t xml:space="preserve">’ αυτό </w:t>
      </w:r>
      <w:r>
        <w:t>των εξόδων</w:t>
      </w:r>
      <w:r w:rsidR="004F19CF">
        <w:t>.</w:t>
      </w:r>
    </w:p>
    <w:p w:rsidR="00D934F9" w:rsidRDefault="00D934F9" w:rsidP="00D934F9">
      <w:pPr>
        <w:spacing w:after="0" w:line="360" w:lineRule="auto"/>
        <w:jc w:val="both"/>
      </w:pPr>
      <w:r>
        <w:t>Η ταμειακή υπηρεσία και το τμήμα εσόδων του Δήμου έχουν προβεί στην ενημέρωση των οφειλετών ανεξαρτήτως ποσού, ενώ έχουν προχωρήσει και στις προβλεπόμενες ενέργειες στην ΔΟΥ για οφειλές άνω των 293,47 €, εντείνοντας έτσι τις προσπάθειες  είσπραξης των ιδίων εσόδων του δήμου για να είμαστε εν</w:t>
      </w:r>
      <w:r w:rsidR="007B1BB6">
        <w:t>τ</w:t>
      </w:r>
      <w:r>
        <w:t>ός των στόχων στο κλείσιμο του έτους.</w:t>
      </w:r>
    </w:p>
    <w:p w:rsidR="00D934F9" w:rsidRDefault="00D934F9" w:rsidP="00935B09">
      <w:pPr>
        <w:spacing w:after="0" w:line="360" w:lineRule="auto"/>
        <w:jc w:val="both"/>
      </w:pPr>
      <w:r>
        <w:t>.</w:t>
      </w:r>
    </w:p>
    <w:p w:rsidR="00D934F9" w:rsidRDefault="00D934F9" w:rsidP="00FB6762">
      <w:pPr>
        <w:spacing w:after="0" w:line="360" w:lineRule="auto"/>
        <w:jc w:val="both"/>
      </w:pPr>
    </w:p>
    <w:tbl>
      <w:tblPr>
        <w:tblpPr w:leftFromText="180" w:rightFromText="180" w:vertAnchor="text" w:horzAnchor="margin" w:tblpXSpec="center" w:tblpY="94"/>
        <w:tblW w:w="7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4"/>
        <w:gridCol w:w="1502"/>
        <w:gridCol w:w="2407"/>
        <w:gridCol w:w="2092"/>
      </w:tblGrid>
      <w:tr w:rsidR="00D9598E" w:rsidTr="00D9598E">
        <w:trPr>
          <w:trHeight w:val="255"/>
        </w:trPr>
        <w:tc>
          <w:tcPr>
            <w:tcW w:w="1464" w:type="dxa"/>
            <w:tcBorders>
              <w:top w:val="single" w:sz="4" w:space="0" w:color="auto"/>
              <w:left w:val="single" w:sz="4" w:space="0" w:color="auto"/>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ΕΙΣΗΓΗΤΗΣ</w:t>
            </w:r>
          </w:p>
        </w:tc>
        <w:tc>
          <w:tcPr>
            <w:tcW w:w="1502" w:type="dxa"/>
            <w:tcBorders>
              <w:top w:val="single" w:sz="4" w:space="0" w:color="auto"/>
              <w:left w:val="single" w:sz="4" w:space="0" w:color="auto"/>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ΔΙΕΥΘΥΝΤΗΣ</w:t>
            </w:r>
          </w:p>
        </w:tc>
        <w:tc>
          <w:tcPr>
            <w:tcW w:w="2407" w:type="dxa"/>
            <w:tcBorders>
              <w:top w:val="single" w:sz="4" w:space="0" w:color="auto"/>
              <w:left w:val="single" w:sz="4" w:space="0" w:color="auto"/>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ΑΝΤΙΔΗΜΑΡΧΟΣ ΟΙΚΟΝΟΜΙΚΩΝ ΥΠΗΡΕΣΙΩΝ</w:t>
            </w:r>
          </w:p>
        </w:tc>
        <w:tc>
          <w:tcPr>
            <w:tcW w:w="2092" w:type="dxa"/>
            <w:tcBorders>
              <w:top w:val="single" w:sz="4" w:space="0" w:color="auto"/>
              <w:left w:val="nil"/>
              <w:bottom w:val="single" w:sz="4" w:space="0" w:color="auto"/>
              <w:right w:val="single" w:sz="4" w:space="0" w:color="auto"/>
            </w:tcBorders>
            <w:hideMark/>
          </w:tcPr>
          <w:p w:rsidR="00D9598E" w:rsidRPr="00A856DC" w:rsidRDefault="00D9598E" w:rsidP="00A90275">
            <w:pPr>
              <w:autoSpaceDE w:val="0"/>
              <w:autoSpaceDN w:val="0"/>
              <w:adjustRightInd w:val="0"/>
              <w:spacing w:after="0"/>
              <w:jc w:val="center"/>
              <w:rPr>
                <w:rFonts w:cs="Calibri"/>
                <w:color w:val="000000"/>
                <w:sz w:val="18"/>
                <w:szCs w:val="18"/>
              </w:rPr>
            </w:pPr>
            <w:r w:rsidRPr="00A856DC">
              <w:rPr>
                <w:rFonts w:cs="Calibri"/>
                <w:color w:val="000000"/>
                <w:sz w:val="18"/>
                <w:szCs w:val="18"/>
              </w:rPr>
              <w:t>ΓΕΝΙΚ</w:t>
            </w:r>
            <w:r>
              <w:rPr>
                <w:rFonts w:cs="Calibri"/>
                <w:color w:val="000000"/>
                <w:sz w:val="18"/>
                <w:szCs w:val="18"/>
              </w:rPr>
              <w:t>ΟΣ</w:t>
            </w:r>
            <w:r w:rsidRPr="00A856DC">
              <w:rPr>
                <w:rFonts w:cs="Calibri"/>
                <w:color w:val="000000"/>
                <w:sz w:val="18"/>
                <w:szCs w:val="18"/>
              </w:rPr>
              <w:t xml:space="preserve"> ΓΡΑΜΜΑΤΕΑΣ</w:t>
            </w:r>
          </w:p>
        </w:tc>
      </w:tr>
      <w:tr w:rsidR="00D9598E" w:rsidTr="00D9598E">
        <w:trPr>
          <w:trHeight w:val="232"/>
        </w:trPr>
        <w:tc>
          <w:tcPr>
            <w:tcW w:w="1464" w:type="dxa"/>
            <w:tcBorders>
              <w:top w:val="nil"/>
              <w:left w:val="single" w:sz="4" w:space="0" w:color="auto"/>
              <w:bottom w:val="nil"/>
              <w:right w:val="single" w:sz="4" w:space="0" w:color="auto"/>
            </w:tcBorders>
          </w:tcPr>
          <w:p w:rsidR="00D9598E" w:rsidRDefault="00D9598E" w:rsidP="00A90275">
            <w:pPr>
              <w:spacing w:after="0"/>
              <w:rPr>
                <w:rFonts w:cs="Calibri"/>
                <w:sz w:val="18"/>
                <w:szCs w:val="18"/>
              </w:rPr>
            </w:pPr>
          </w:p>
          <w:p w:rsidR="00D9598E" w:rsidRPr="00A856DC" w:rsidRDefault="00D9598E" w:rsidP="00A90275">
            <w:pPr>
              <w:rPr>
                <w:rFonts w:cs="Calibri"/>
                <w:sz w:val="18"/>
                <w:szCs w:val="18"/>
              </w:rPr>
            </w:pPr>
          </w:p>
        </w:tc>
        <w:tc>
          <w:tcPr>
            <w:tcW w:w="1502" w:type="dxa"/>
            <w:tcBorders>
              <w:top w:val="nil"/>
              <w:left w:val="single" w:sz="4" w:space="0" w:color="auto"/>
              <w:bottom w:val="nil"/>
              <w:right w:val="single" w:sz="4" w:space="0" w:color="auto"/>
            </w:tcBorders>
          </w:tcPr>
          <w:p w:rsidR="00D9598E" w:rsidRPr="00A856DC" w:rsidRDefault="00D9598E" w:rsidP="00A90275">
            <w:pPr>
              <w:rPr>
                <w:rFonts w:cs="Calibri"/>
                <w:sz w:val="18"/>
                <w:szCs w:val="18"/>
              </w:rPr>
            </w:pPr>
          </w:p>
        </w:tc>
        <w:tc>
          <w:tcPr>
            <w:tcW w:w="2407" w:type="dxa"/>
            <w:tcBorders>
              <w:top w:val="nil"/>
              <w:left w:val="single" w:sz="4" w:space="0" w:color="auto"/>
              <w:bottom w:val="nil"/>
              <w:right w:val="single" w:sz="4" w:space="0" w:color="auto"/>
            </w:tcBorders>
          </w:tcPr>
          <w:p w:rsidR="00D9598E" w:rsidRPr="00A856DC" w:rsidRDefault="00D9598E" w:rsidP="00A90275">
            <w:pPr>
              <w:rPr>
                <w:rFonts w:cs="Calibri"/>
                <w:sz w:val="18"/>
                <w:szCs w:val="18"/>
              </w:rPr>
            </w:pPr>
          </w:p>
        </w:tc>
        <w:tc>
          <w:tcPr>
            <w:tcW w:w="2092" w:type="dxa"/>
            <w:tcBorders>
              <w:top w:val="nil"/>
              <w:left w:val="nil"/>
              <w:bottom w:val="nil"/>
              <w:right w:val="single" w:sz="4" w:space="0" w:color="auto"/>
            </w:tcBorders>
            <w:noWrap/>
            <w:vAlign w:val="bottom"/>
            <w:hideMark/>
          </w:tcPr>
          <w:p w:rsidR="00D9598E" w:rsidRPr="00A856DC" w:rsidRDefault="00D9598E" w:rsidP="00A90275">
            <w:pPr>
              <w:rPr>
                <w:rFonts w:eastAsiaTheme="minorEastAsia"/>
                <w:sz w:val="18"/>
                <w:szCs w:val="18"/>
              </w:rPr>
            </w:pPr>
          </w:p>
        </w:tc>
      </w:tr>
      <w:tr w:rsidR="00D9598E" w:rsidTr="00D9598E">
        <w:trPr>
          <w:trHeight w:val="80"/>
        </w:trPr>
        <w:tc>
          <w:tcPr>
            <w:tcW w:w="1464" w:type="dxa"/>
            <w:tcBorders>
              <w:top w:val="nil"/>
              <w:left w:val="single" w:sz="4" w:space="0" w:color="auto"/>
              <w:bottom w:val="single" w:sz="4" w:space="0" w:color="auto"/>
              <w:right w:val="single" w:sz="4" w:space="0" w:color="auto"/>
            </w:tcBorders>
          </w:tcPr>
          <w:p w:rsidR="00D9598E" w:rsidRPr="00A856DC" w:rsidRDefault="00D9598E" w:rsidP="00A90275">
            <w:pPr>
              <w:spacing w:after="0"/>
              <w:rPr>
                <w:rFonts w:cs="Calibri"/>
                <w:sz w:val="18"/>
                <w:szCs w:val="18"/>
              </w:rPr>
            </w:pPr>
          </w:p>
        </w:tc>
        <w:tc>
          <w:tcPr>
            <w:tcW w:w="1502" w:type="dxa"/>
            <w:tcBorders>
              <w:top w:val="nil"/>
              <w:left w:val="single" w:sz="4" w:space="0" w:color="auto"/>
              <w:bottom w:val="single" w:sz="4" w:space="0" w:color="auto"/>
              <w:right w:val="single" w:sz="4" w:space="0" w:color="auto"/>
            </w:tcBorders>
          </w:tcPr>
          <w:p w:rsidR="00D9598E" w:rsidRPr="00A856DC" w:rsidRDefault="00D9598E" w:rsidP="00A90275">
            <w:pPr>
              <w:spacing w:after="0"/>
              <w:rPr>
                <w:rFonts w:cs="Calibri"/>
                <w:sz w:val="18"/>
                <w:szCs w:val="18"/>
              </w:rPr>
            </w:pPr>
          </w:p>
        </w:tc>
        <w:tc>
          <w:tcPr>
            <w:tcW w:w="2407" w:type="dxa"/>
            <w:tcBorders>
              <w:top w:val="nil"/>
              <w:left w:val="single" w:sz="4" w:space="0" w:color="auto"/>
              <w:bottom w:val="single" w:sz="4" w:space="0" w:color="auto"/>
              <w:right w:val="single" w:sz="4" w:space="0" w:color="auto"/>
            </w:tcBorders>
          </w:tcPr>
          <w:p w:rsidR="00D9598E" w:rsidRPr="00A856DC" w:rsidRDefault="00D9598E" w:rsidP="00A90275">
            <w:pPr>
              <w:spacing w:after="0" w:line="240" w:lineRule="auto"/>
              <w:rPr>
                <w:rFonts w:cs="Calibri"/>
                <w:sz w:val="18"/>
                <w:szCs w:val="18"/>
              </w:rPr>
            </w:pPr>
            <w:r>
              <w:rPr>
                <w:rFonts w:cs="Calibri"/>
                <w:sz w:val="18"/>
                <w:szCs w:val="18"/>
              </w:rPr>
              <w:t>ΣΠΥΡΙΔΩΝ  ΠΑΠΑΓΕΩΡΓΙΟΥ</w:t>
            </w:r>
          </w:p>
        </w:tc>
        <w:tc>
          <w:tcPr>
            <w:tcW w:w="2092" w:type="dxa"/>
            <w:tcBorders>
              <w:top w:val="nil"/>
              <w:left w:val="nil"/>
              <w:bottom w:val="single" w:sz="4" w:space="0" w:color="auto"/>
              <w:right w:val="single" w:sz="4" w:space="0" w:color="auto"/>
            </w:tcBorders>
            <w:noWrap/>
            <w:vAlign w:val="bottom"/>
            <w:hideMark/>
          </w:tcPr>
          <w:p w:rsidR="00D9598E" w:rsidRPr="00A856DC" w:rsidRDefault="00D9598E" w:rsidP="00A90275">
            <w:pPr>
              <w:spacing w:after="0"/>
              <w:jc w:val="center"/>
              <w:rPr>
                <w:rFonts w:cs="Calibri"/>
                <w:sz w:val="18"/>
                <w:szCs w:val="18"/>
              </w:rPr>
            </w:pPr>
            <w:r>
              <w:rPr>
                <w:rFonts w:cs="Calibri"/>
                <w:sz w:val="18"/>
                <w:szCs w:val="18"/>
              </w:rPr>
              <w:t>ΚΑΣΑΠΙΔΗΣ ΣΤΕΦΑΝΟΣ</w:t>
            </w:r>
          </w:p>
        </w:tc>
      </w:tr>
      <w:tr w:rsidR="00D9598E" w:rsidTr="00D9598E">
        <w:trPr>
          <w:trHeight w:val="255"/>
        </w:trPr>
        <w:tc>
          <w:tcPr>
            <w:tcW w:w="1464" w:type="dxa"/>
            <w:tcBorders>
              <w:top w:val="nil"/>
              <w:left w:val="nil"/>
              <w:bottom w:val="nil"/>
              <w:right w:val="nil"/>
            </w:tcBorders>
          </w:tcPr>
          <w:p w:rsidR="00D9598E" w:rsidRDefault="00D9598E" w:rsidP="00A90275">
            <w:pPr>
              <w:spacing w:after="0"/>
              <w:rPr>
                <w:rFonts w:cs="Calibri"/>
              </w:rPr>
            </w:pPr>
          </w:p>
        </w:tc>
        <w:tc>
          <w:tcPr>
            <w:tcW w:w="1502" w:type="dxa"/>
            <w:tcBorders>
              <w:top w:val="nil"/>
              <w:left w:val="nil"/>
              <w:bottom w:val="nil"/>
              <w:right w:val="nil"/>
            </w:tcBorders>
          </w:tcPr>
          <w:p w:rsidR="00D9598E" w:rsidRDefault="00D9598E" w:rsidP="00A90275">
            <w:pPr>
              <w:rPr>
                <w:rFonts w:cs="Calibri"/>
              </w:rPr>
            </w:pPr>
          </w:p>
        </w:tc>
        <w:tc>
          <w:tcPr>
            <w:tcW w:w="2407" w:type="dxa"/>
            <w:tcBorders>
              <w:top w:val="nil"/>
              <w:left w:val="nil"/>
              <w:bottom w:val="nil"/>
              <w:right w:val="nil"/>
            </w:tcBorders>
          </w:tcPr>
          <w:p w:rsidR="00D9598E" w:rsidRDefault="00D9598E" w:rsidP="00A90275">
            <w:pPr>
              <w:rPr>
                <w:rFonts w:cs="Calibri"/>
              </w:rPr>
            </w:pPr>
          </w:p>
        </w:tc>
        <w:tc>
          <w:tcPr>
            <w:tcW w:w="2092" w:type="dxa"/>
            <w:tcBorders>
              <w:top w:val="nil"/>
              <w:left w:val="nil"/>
              <w:bottom w:val="nil"/>
              <w:right w:val="nil"/>
            </w:tcBorders>
            <w:noWrap/>
            <w:vAlign w:val="bottom"/>
            <w:hideMark/>
          </w:tcPr>
          <w:p w:rsidR="00D9598E" w:rsidRDefault="00D9598E" w:rsidP="00A90275">
            <w:pPr>
              <w:rPr>
                <w:rFonts w:eastAsiaTheme="minorEastAsia"/>
              </w:rPr>
            </w:pPr>
          </w:p>
        </w:tc>
      </w:tr>
      <w:tr w:rsidR="00D9598E" w:rsidRPr="00A856DC" w:rsidTr="00D9598E">
        <w:trPr>
          <w:trHeight w:val="255"/>
        </w:trPr>
        <w:tc>
          <w:tcPr>
            <w:tcW w:w="1464" w:type="dxa"/>
            <w:tcBorders>
              <w:top w:val="nil"/>
              <w:left w:val="nil"/>
              <w:bottom w:val="nil"/>
              <w:right w:val="nil"/>
            </w:tcBorders>
          </w:tcPr>
          <w:p w:rsidR="00D9598E" w:rsidRPr="00A856DC" w:rsidRDefault="00D9598E" w:rsidP="00A90275">
            <w:pPr>
              <w:rPr>
                <w:rFonts w:cs="Calibri"/>
                <w:sz w:val="18"/>
                <w:szCs w:val="18"/>
              </w:rPr>
            </w:pPr>
          </w:p>
        </w:tc>
        <w:tc>
          <w:tcPr>
            <w:tcW w:w="1502" w:type="dxa"/>
            <w:tcBorders>
              <w:top w:val="nil"/>
              <w:left w:val="nil"/>
              <w:bottom w:val="nil"/>
              <w:right w:val="nil"/>
            </w:tcBorders>
          </w:tcPr>
          <w:p w:rsidR="00D9598E" w:rsidRPr="00A856DC" w:rsidRDefault="00D9598E" w:rsidP="00A90275">
            <w:pPr>
              <w:rPr>
                <w:rFonts w:cs="Calibri"/>
                <w:sz w:val="18"/>
                <w:szCs w:val="18"/>
              </w:rPr>
            </w:pPr>
          </w:p>
        </w:tc>
        <w:tc>
          <w:tcPr>
            <w:tcW w:w="4499" w:type="dxa"/>
            <w:gridSpan w:val="2"/>
            <w:tcBorders>
              <w:top w:val="nil"/>
              <w:left w:val="nil"/>
              <w:bottom w:val="nil"/>
              <w:right w:val="nil"/>
            </w:tcBorders>
            <w:vAlign w:val="bottom"/>
          </w:tcPr>
          <w:p w:rsidR="00D9598E" w:rsidRPr="00A856DC" w:rsidRDefault="00D9598E" w:rsidP="00A90275">
            <w:pPr>
              <w:jc w:val="center"/>
              <w:rPr>
                <w:rFonts w:cs="Calibri"/>
                <w:sz w:val="18"/>
                <w:szCs w:val="18"/>
              </w:rPr>
            </w:pPr>
            <w:r w:rsidRPr="00A856DC">
              <w:rPr>
                <w:rFonts w:cs="Calibri"/>
                <w:sz w:val="18"/>
                <w:szCs w:val="18"/>
              </w:rPr>
              <w:t>Ο ΔΗΜΑΡΧΟΣ</w:t>
            </w:r>
          </w:p>
        </w:tc>
      </w:tr>
      <w:tr w:rsidR="00D9598E" w:rsidRPr="00A856DC" w:rsidTr="00D9598E">
        <w:trPr>
          <w:trHeight w:val="255"/>
        </w:trPr>
        <w:tc>
          <w:tcPr>
            <w:tcW w:w="1464" w:type="dxa"/>
            <w:tcBorders>
              <w:top w:val="nil"/>
              <w:left w:val="nil"/>
              <w:bottom w:val="nil"/>
              <w:right w:val="nil"/>
            </w:tcBorders>
          </w:tcPr>
          <w:p w:rsidR="00D9598E" w:rsidRPr="00A856DC" w:rsidRDefault="00D9598E" w:rsidP="00A90275">
            <w:pPr>
              <w:rPr>
                <w:rFonts w:cs="Calibri"/>
                <w:sz w:val="18"/>
                <w:szCs w:val="18"/>
              </w:rPr>
            </w:pPr>
          </w:p>
        </w:tc>
        <w:tc>
          <w:tcPr>
            <w:tcW w:w="1502" w:type="dxa"/>
            <w:tcBorders>
              <w:top w:val="nil"/>
              <w:left w:val="nil"/>
              <w:bottom w:val="nil"/>
              <w:right w:val="nil"/>
            </w:tcBorders>
          </w:tcPr>
          <w:p w:rsidR="00D9598E" w:rsidRPr="00A856DC" w:rsidRDefault="00D9598E" w:rsidP="00A90275">
            <w:pPr>
              <w:rPr>
                <w:rFonts w:cs="Calibri"/>
                <w:sz w:val="18"/>
                <w:szCs w:val="18"/>
              </w:rPr>
            </w:pPr>
          </w:p>
        </w:tc>
        <w:tc>
          <w:tcPr>
            <w:tcW w:w="4499" w:type="dxa"/>
            <w:gridSpan w:val="2"/>
            <w:tcBorders>
              <w:top w:val="nil"/>
              <w:left w:val="nil"/>
              <w:bottom w:val="nil"/>
              <w:right w:val="nil"/>
            </w:tcBorders>
            <w:vAlign w:val="bottom"/>
          </w:tcPr>
          <w:p w:rsidR="00D9598E" w:rsidRPr="009F3DAE" w:rsidRDefault="00D9598E" w:rsidP="00A90275">
            <w:pPr>
              <w:jc w:val="center"/>
              <w:rPr>
                <w:rFonts w:cs="Calibri"/>
                <w:sz w:val="18"/>
                <w:szCs w:val="18"/>
              </w:rPr>
            </w:pPr>
          </w:p>
          <w:p w:rsidR="00D9598E" w:rsidRPr="00A856DC" w:rsidRDefault="00D9598E" w:rsidP="00A90275">
            <w:pPr>
              <w:jc w:val="center"/>
              <w:rPr>
                <w:rFonts w:cs="Calibri"/>
                <w:sz w:val="18"/>
                <w:szCs w:val="18"/>
              </w:rPr>
            </w:pPr>
            <w:r>
              <w:rPr>
                <w:rFonts w:cs="Calibri"/>
                <w:sz w:val="18"/>
                <w:szCs w:val="18"/>
              </w:rPr>
              <w:t>ΙΩΑΝΝΗΣ Ε. ΣΤΑΘΟΠΟΥΛΟΣ</w:t>
            </w:r>
          </w:p>
        </w:tc>
      </w:tr>
    </w:tbl>
    <w:p w:rsidR="008A0280" w:rsidRPr="00A856DC" w:rsidRDefault="008A0280" w:rsidP="008A0280">
      <w:pPr>
        <w:spacing w:after="0"/>
        <w:jc w:val="both"/>
        <w:rPr>
          <w:rFonts w:ascii="Arial" w:hAnsi="Arial" w:cs="Arial"/>
          <w:sz w:val="16"/>
          <w:szCs w:val="16"/>
        </w:rPr>
      </w:pPr>
      <w:r w:rsidRPr="00A856DC">
        <w:rPr>
          <w:rFonts w:ascii="Arial" w:hAnsi="Arial" w:cs="Arial"/>
          <w:sz w:val="16"/>
          <w:szCs w:val="16"/>
        </w:rPr>
        <w:t>ΕΣΩΤΕΡΙΚΗ ΔΙΑΝΟΜΗ</w:t>
      </w:r>
    </w:p>
    <w:p w:rsidR="008A0280" w:rsidRPr="00A856DC" w:rsidRDefault="008A0280" w:rsidP="008A0280">
      <w:pPr>
        <w:spacing w:after="0"/>
        <w:jc w:val="both"/>
        <w:rPr>
          <w:rFonts w:ascii="Arial" w:hAnsi="Arial" w:cs="Arial"/>
          <w:sz w:val="16"/>
          <w:szCs w:val="16"/>
        </w:rPr>
      </w:pPr>
      <w:r w:rsidRPr="00A856DC">
        <w:rPr>
          <w:rFonts w:ascii="Arial" w:hAnsi="Arial" w:cs="Arial"/>
          <w:sz w:val="16"/>
          <w:szCs w:val="16"/>
        </w:rPr>
        <w:t>ΛΟΓΙΣΤΗΡΙΟ (</w:t>
      </w:r>
      <w:r>
        <w:rPr>
          <w:rFonts w:ascii="Arial" w:hAnsi="Arial" w:cs="Arial"/>
          <w:sz w:val="16"/>
          <w:szCs w:val="16"/>
        </w:rPr>
        <w:t>2</w:t>
      </w:r>
      <w:r w:rsidRPr="00A856DC">
        <w:rPr>
          <w:rFonts w:ascii="Arial" w:hAnsi="Arial" w:cs="Arial"/>
          <w:sz w:val="16"/>
          <w:szCs w:val="16"/>
        </w:rPr>
        <w:t>)</w:t>
      </w:r>
    </w:p>
    <w:p w:rsidR="008A0280" w:rsidRPr="00D934F9" w:rsidRDefault="008A0280" w:rsidP="00FB6762">
      <w:pPr>
        <w:spacing w:after="0" w:line="360" w:lineRule="auto"/>
        <w:jc w:val="both"/>
      </w:pPr>
    </w:p>
    <w:sectPr w:rsidR="008A0280" w:rsidRPr="00D934F9" w:rsidSect="00B64E4A">
      <w:pgSz w:w="11906" w:h="16838"/>
      <w:pgMar w:top="1440" w:right="1797" w:bottom="1440" w:left="179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393" w:rsidRDefault="003A4393" w:rsidP="004F35E7">
      <w:pPr>
        <w:spacing w:after="0" w:line="240" w:lineRule="auto"/>
      </w:pPr>
      <w:r>
        <w:separator/>
      </w:r>
    </w:p>
  </w:endnote>
  <w:endnote w:type="continuationSeparator" w:id="0">
    <w:p w:rsidR="003A4393" w:rsidRDefault="003A4393" w:rsidP="004F3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91783"/>
      <w:docPartObj>
        <w:docPartGallery w:val="Page Numbers (Bottom of Page)"/>
        <w:docPartUnique/>
      </w:docPartObj>
    </w:sdtPr>
    <w:sdtContent>
      <w:p w:rsidR="003A4393" w:rsidRDefault="00B900A5">
        <w:pPr>
          <w:pStyle w:val="a5"/>
          <w:jc w:val="center"/>
        </w:pPr>
        <w:fldSimple w:instr=" PAGE   \* MERGEFORMAT ">
          <w:r w:rsidR="006E7387">
            <w:rPr>
              <w:noProof/>
            </w:rPr>
            <w:t>1</w:t>
          </w:r>
        </w:fldSimple>
      </w:p>
    </w:sdtContent>
  </w:sdt>
  <w:p w:rsidR="003A4393" w:rsidRDefault="003A439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393" w:rsidRDefault="003A4393" w:rsidP="004F35E7">
      <w:pPr>
        <w:spacing w:after="0" w:line="240" w:lineRule="auto"/>
      </w:pPr>
      <w:r>
        <w:separator/>
      </w:r>
    </w:p>
  </w:footnote>
  <w:footnote w:type="continuationSeparator" w:id="0">
    <w:p w:rsidR="003A4393" w:rsidRDefault="003A4393" w:rsidP="004F35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E479E"/>
    <w:multiLevelType w:val="hybridMultilevel"/>
    <w:tmpl w:val="9580E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47A589F"/>
    <w:multiLevelType w:val="hybridMultilevel"/>
    <w:tmpl w:val="BE183C4A"/>
    <w:lvl w:ilvl="0" w:tplc="78245CE8">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369771B3"/>
    <w:multiLevelType w:val="hybridMultilevel"/>
    <w:tmpl w:val="7084F6C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3032E5F"/>
    <w:multiLevelType w:val="hybridMultilevel"/>
    <w:tmpl w:val="56625F1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49618F3"/>
    <w:multiLevelType w:val="hybridMultilevel"/>
    <w:tmpl w:val="3274F6BA"/>
    <w:lvl w:ilvl="0" w:tplc="8EBC4BAA">
      <w:start w:val="1"/>
      <w:numFmt w:val="bullet"/>
      <w:lvlText w:val=""/>
      <w:lvlJc w:val="left"/>
      <w:pPr>
        <w:ind w:left="720" w:hanging="360"/>
      </w:pPr>
      <w:rPr>
        <w:rFonts w:ascii="Symbol" w:eastAsia="Calibr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BED3A4F"/>
    <w:multiLevelType w:val="hybridMultilevel"/>
    <w:tmpl w:val="602CD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67B2B11"/>
    <w:multiLevelType w:val="hybridMultilevel"/>
    <w:tmpl w:val="AA4CD5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D245C"/>
    <w:rsid w:val="00004C53"/>
    <w:rsid w:val="00010143"/>
    <w:rsid w:val="00015E5A"/>
    <w:rsid w:val="000169D7"/>
    <w:rsid w:val="00032FDF"/>
    <w:rsid w:val="000364B9"/>
    <w:rsid w:val="00037942"/>
    <w:rsid w:val="00044804"/>
    <w:rsid w:val="00051B88"/>
    <w:rsid w:val="00053F71"/>
    <w:rsid w:val="0008008D"/>
    <w:rsid w:val="000A2B42"/>
    <w:rsid w:val="000B73F3"/>
    <w:rsid w:val="000C0723"/>
    <w:rsid w:val="000C3D7C"/>
    <w:rsid w:val="000C7467"/>
    <w:rsid w:val="000D0515"/>
    <w:rsid w:val="000E3478"/>
    <w:rsid w:val="000E40A7"/>
    <w:rsid w:val="000E4333"/>
    <w:rsid w:val="000E5838"/>
    <w:rsid w:val="000E667E"/>
    <w:rsid w:val="000F2E7B"/>
    <w:rsid w:val="0010397F"/>
    <w:rsid w:val="001146A6"/>
    <w:rsid w:val="00120890"/>
    <w:rsid w:val="0012169D"/>
    <w:rsid w:val="00122FF0"/>
    <w:rsid w:val="00135B6C"/>
    <w:rsid w:val="00141B6B"/>
    <w:rsid w:val="001478EC"/>
    <w:rsid w:val="00164A9D"/>
    <w:rsid w:val="00181059"/>
    <w:rsid w:val="001848EB"/>
    <w:rsid w:val="00193ACF"/>
    <w:rsid w:val="001963B2"/>
    <w:rsid w:val="001A3C17"/>
    <w:rsid w:val="001B06EC"/>
    <w:rsid w:val="001C1EE0"/>
    <w:rsid w:val="001D422B"/>
    <w:rsid w:val="001E43BD"/>
    <w:rsid w:val="001F5E4C"/>
    <w:rsid w:val="002009C0"/>
    <w:rsid w:val="00202F2B"/>
    <w:rsid w:val="0020549E"/>
    <w:rsid w:val="002129D8"/>
    <w:rsid w:val="002225F3"/>
    <w:rsid w:val="00231AF6"/>
    <w:rsid w:val="00245EEE"/>
    <w:rsid w:val="002463E8"/>
    <w:rsid w:val="00247E97"/>
    <w:rsid w:val="0025645E"/>
    <w:rsid w:val="00267DA1"/>
    <w:rsid w:val="00271C68"/>
    <w:rsid w:val="0027540B"/>
    <w:rsid w:val="00286844"/>
    <w:rsid w:val="00287754"/>
    <w:rsid w:val="002B28AA"/>
    <w:rsid w:val="002B416F"/>
    <w:rsid w:val="002C5B3C"/>
    <w:rsid w:val="002D3FB7"/>
    <w:rsid w:val="002E46E5"/>
    <w:rsid w:val="002E55F9"/>
    <w:rsid w:val="002E575E"/>
    <w:rsid w:val="002F0AD2"/>
    <w:rsid w:val="002F3307"/>
    <w:rsid w:val="00310911"/>
    <w:rsid w:val="00331312"/>
    <w:rsid w:val="00334739"/>
    <w:rsid w:val="00344814"/>
    <w:rsid w:val="00347FE1"/>
    <w:rsid w:val="00355EDD"/>
    <w:rsid w:val="0036102B"/>
    <w:rsid w:val="00381EDF"/>
    <w:rsid w:val="003A41ED"/>
    <w:rsid w:val="003A4393"/>
    <w:rsid w:val="003B6E37"/>
    <w:rsid w:val="003C1830"/>
    <w:rsid w:val="003D70BA"/>
    <w:rsid w:val="003E73B6"/>
    <w:rsid w:val="003F4C6C"/>
    <w:rsid w:val="00400AAE"/>
    <w:rsid w:val="004156AA"/>
    <w:rsid w:val="00420C04"/>
    <w:rsid w:val="004261E1"/>
    <w:rsid w:val="0043426C"/>
    <w:rsid w:val="004443A8"/>
    <w:rsid w:val="004464B4"/>
    <w:rsid w:val="00447576"/>
    <w:rsid w:val="00450EB1"/>
    <w:rsid w:val="00451683"/>
    <w:rsid w:val="00464B41"/>
    <w:rsid w:val="00464DA7"/>
    <w:rsid w:val="0047421B"/>
    <w:rsid w:val="00475076"/>
    <w:rsid w:val="004769C6"/>
    <w:rsid w:val="00482D19"/>
    <w:rsid w:val="00485694"/>
    <w:rsid w:val="004905E7"/>
    <w:rsid w:val="004967F9"/>
    <w:rsid w:val="00497312"/>
    <w:rsid w:val="004B45D3"/>
    <w:rsid w:val="004C6AC5"/>
    <w:rsid w:val="004C73B2"/>
    <w:rsid w:val="004D245C"/>
    <w:rsid w:val="004D7AB5"/>
    <w:rsid w:val="004E29E6"/>
    <w:rsid w:val="004E3AA9"/>
    <w:rsid w:val="004E6049"/>
    <w:rsid w:val="004F19CF"/>
    <w:rsid w:val="004F35E7"/>
    <w:rsid w:val="004F7D99"/>
    <w:rsid w:val="005067C7"/>
    <w:rsid w:val="00513F70"/>
    <w:rsid w:val="00517050"/>
    <w:rsid w:val="005241B0"/>
    <w:rsid w:val="0055368E"/>
    <w:rsid w:val="005624EE"/>
    <w:rsid w:val="00562986"/>
    <w:rsid w:val="005630B5"/>
    <w:rsid w:val="0056316C"/>
    <w:rsid w:val="0057153C"/>
    <w:rsid w:val="00581B72"/>
    <w:rsid w:val="00595413"/>
    <w:rsid w:val="005955A7"/>
    <w:rsid w:val="005A7EC9"/>
    <w:rsid w:val="005B28EF"/>
    <w:rsid w:val="005D0C59"/>
    <w:rsid w:val="005D7176"/>
    <w:rsid w:val="005F609B"/>
    <w:rsid w:val="006032B0"/>
    <w:rsid w:val="0060756F"/>
    <w:rsid w:val="00614A4F"/>
    <w:rsid w:val="00626A6C"/>
    <w:rsid w:val="0063055A"/>
    <w:rsid w:val="00635BB2"/>
    <w:rsid w:val="0063759A"/>
    <w:rsid w:val="00642EEE"/>
    <w:rsid w:val="006437DD"/>
    <w:rsid w:val="00643D65"/>
    <w:rsid w:val="006462E0"/>
    <w:rsid w:val="00646D83"/>
    <w:rsid w:val="00650C2A"/>
    <w:rsid w:val="00652746"/>
    <w:rsid w:val="006550CC"/>
    <w:rsid w:val="00670A9E"/>
    <w:rsid w:val="00683859"/>
    <w:rsid w:val="00687C19"/>
    <w:rsid w:val="00697323"/>
    <w:rsid w:val="006A31C1"/>
    <w:rsid w:val="006B3141"/>
    <w:rsid w:val="006B5C5F"/>
    <w:rsid w:val="006D6B30"/>
    <w:rsid w:val="006E46D4"/>
    <w:rsid w:val="006E5B64"/>
    <w:rsid w:val="006E5F34"/>
    <w:rsid w:val="006E7387"/>
    <w:rsid w:val="006F009C"/>
    <w:rsid w:val="006F284E"/>
    <w:rsid w:val="006F494E"/>
    <w:rsid w:val="006F7F10"/>
    <w:rsid w:val="007079C3"/>
    <w:rsid w:val="00724636"/>
    <w:rsid w:val="007246E2"/>
    <w:rsid w:val="00734A98"/>
    <w:rsid w:val="007377E9"/>
    <w:rsid w:val="007440C8"/>
    <w:rsid w:val="007458AF"/>
    <w:rsid w:val="00745A44"/>
    <w:rsid w:val="00746915"/>
    <w:rsid w:val="007700FE"/>
    <w:rsid w:val="00773285"/>
    <w:rsid w:val="0077791B"/>
    <w:rsid w:val="00777F23"/>
    <w:rsid w:val="00796A0C"/>
    <w:rsid w:val="00796E25"/>
    <w:rsid w:val="007A1E03"/>
    <w:rsid w:val="007A2F16"/>
    <w:rsid w:val="007B1BB6"/>
    <w:rsid w:val="007B3F04"/>
    <w:rsid w:val="007B538D"/>
    <w:rsid w:val="007B5D5E"/>
    <w:rsid w:val="007C5738"/>
    <w:rsid w:val="007C7472"/>
    <w:rsid w:val="007E519E"/>
    <w:rsid w:val="007F0DB1"/>
    <w:rsid w:val="007F3C1F"/>
    <w:rsid w:val="007F6A6C"/>
    <w:rsid w:val="00801FDF"/>
    <w:rsid w:val="00813B30"/>
    <w:rsid w:val="0082298A"/>
    <w:rsid w:val="00825141"/>
    <w:rsid w:val="00846388"/>
    <w:rsid w:val="00852C8C"/>
    <w:rsid w:val="00860DE3"/>
    <w:rsid w:val="008652B0"/>
    <w:rsid w:val="00874872"/>
    <w:rsid w:val="00884461"/>
    <w:rsid w:val="00887CCA"/>
    <w:rsid w:val="008911DF"/>
    <w:rsid w:val="008A0280"/>
    <w:rsid w:val="008A3BB3"/>
    <w:rsid w:val="008A662F"/>
    <w:rsid w:val="008A714D"/>
    <w:rsid w:val="00921A20"/>
    <w:rsid w:val="00935B09"/>
    <w:rsid w:val="00945D8E"/>
    <w:rsid w:val="009469CF"/>
    <w:rsid w:val="009624E9"/>
    <w:rsid w:val="00976F1C"/>
    <w:rsid w:val="009826D1"/>
    <w:rsid w:val="00984DEB"/>
    <w:rsid w:val="00996B59"/>
    <w:rsid w:val="00996E50"/>
    <w:rsid w:val="009A66BB"/>
    <w:rsid w:val="009B13E0"/>
    <w:rsid w:val="009D218B"/>
    <w:rsid w:val="009D34B9"/>
    <w:rsid w:val="009E41AC"/>
    <w:rsid w:val="00A023F5"/>
    <w:rsid w:val="00A04879"/>
    <w:rsid w:val="00A053FC"/>
    <w:rsid w:val="00A07127"/>
    <w:rsid w:val="00A16167"/>
    <w:rsid w:val="00A240BC"/>
    <w:rsid w:val="00A36E5E"/>
    <w:rsid w:val="00A65A5C"/>
    <w:rsid w:val="00A73F62"/>
    <w:rsid w:val="00A77567"/>
    <w:rsid w:val="00A90275"/>
    <w:rsid w:val="00A95934"/>
    <w:rsid w:val="00A96B14"/>
    <w:rsid w:val="00AA55F9"/>
    <w:rsid w:val="00AA7803"/>
    <w:rsid w:val="00AB08E6"/>
    <w:rsid w:val="00AC00B3"/>
    <w:rsid w:val="00AC1FD8"/>
    <w:rsid w:val="00AC355A"/>
    <w:rsid w:val="00AC5F6E"/>
    <w:rsid w:val="00AC75F8"/>
    <w:rsid w:val="00AD280F"/>
    <w:rsid w:val="00AD7698"/>
    <w:rsid w:val="00AE39DF"/>
    <w:rsid w:val="00AF625B"/>
    <w:rsid w:val="00B07C26"/>
    <w:rsid w:val="00B31545"/>
    <w:rsid w:val="00B34EBE"/>
    <w:rsid w:val="00B36AF7"/>
    <w:rsid w:val="00B4325E"/>
    <w:rsid w:val="00B450D6"/>
    <w:rsid w:val="00B64E4A"/>
    <w:rsid w:val="00B749D3"/>
    <w:rsid w:val="00B86FBF"/>
    <w:rsid w:val="00B87737"/>
    <w:rsid w:val="00B87E95"/>
    <w:rsid w:val="00B900A5"/>
    <w:rsid w:val="00BA7C46"/>
    <w:rsid w:val="00BB1992"/>
    <w:rsid w:val="00BB2B99"/>
    <w:rsid w:val="00BB4427"/>
    <w:rsid w:val="00BB4A61"/>
    <w:rsid w:val="00BB5819"/>
    <w:rsid w:val="00BB79FC"/>
    <w:rsid w:val="00BC0FB2"/>
    <w:rsid w:val="00BC20D0"/>
    <w:rsid w:val="00BC40DA"/>
    <w:rsid w:val="00BE5BB6"/>
    <w:rsid w:val="00BE6396"/>
    <w:rsid w:val="00BE671D"/>
    <w:rsid w:val="00C004A9"/>
    <w:rsid w:val="00C01237"/>
    <w:rsid w:val="00C25C14"/>
    <w:rsid w:val="00C30AFC"/>
    <w:rsid w:val="00C32A2C"/>
    <w:rsid w:val="00C35006"/>
    <w:rsid w:val="00C520A9"/>
    <w:rsid w:val="00C52F8C"/>
    <w:rsid w:val="00C54A40"/>
    <w:rsid w:val="00C56B06"/>
    <w:rsid w:val="00C66817"/>
    <w:rsid w:val="00C84D72"/>
    <w:rsid w:val="00C902A3"/>
    <w:rsid w:val="00C95E68"/>
    <w:rsid w:val="00C970FE"/>
    <w:rsid w:val="00CA0F0C"/>
    <w:rsid w:val="00CA5DAC"/>
    <w:rsid w:val="00CA688F"/>
    <w:rsid w:val="00CB3CCC"/>
    <w:rsid w:val="00CD5F6A"/>
    <w:rsid w:val="00CD69D2"/>
    <w:rsid w:val="00CE2303"/>
    <w:rsid w:val="00CE6A69"/>
    <w:rsid w:val="00CF25E1"/>
    <w:rsid w:val="00CF7410"/>
    <w:rsid w:val="00D03852"/>
    <w:rsid w:val="00D10022"/>
    <w:rsid w:val="00D138F0"/>
    <w:rsid w:val="00D15F76"/>
    <w:rsid w:val="00D169CC"/>
    <w:rsid w:val="00D17AB7"/>
    <w:rsid w:val="00D21AC9"/>
    <w:rsid w:val="00D2210E"/>
    <w:rsid w:val="00D26725"/>
    <w:rsid w:val="00D3160D"/>
    <w:rsid w:val="00D37EE1"/>
    <w:rsid w:val="00D442A3"/>
    <w:rsid w:val="00D45627"/>
    <w:rsid w:val="00D609F8"/>
    <w:rsid w:val="00D70B57"/>
    <w:rsid w:val="00D7256A"/>
    <w:rsid w:val="00D8094C"/>
    <w:rsid w:val="00D934F9"/>
    <w:rsid w:val="00D9598E"/>
    <w:rsid w:val="00DA4A5A"/>
    <w:rsid w:val="00DA5287"/>
    <w:rsid w:val="00DC0C88"/>
    <w:rsid w:val="00DC5E3F"/>
    <w:rsid w:val="00DE3C5E"/>
    <w:rsid w:val="00DE54CD"/>
    <w:rsid w:val="00DF214D"/>
    <w:rsid w:val="00E039F6"/>
    <w:rsid w:val="00E04756"/>
    <w:rsid w:val="00E10633"/>
    <w:rsid w:val="00E2101E"/>
    <w:rsid w:val="00E23255"/>
    <w:rsid w:val="00E31A63"/>
    <w:rsid w:val="00E547C3"/>
    <w:rsid w:val="00E62962"/>
    <w:rsid w:val="00E81D83"/>
    <w:rsid w:val="00E87BF1"/>
    <w:rsid w:val="00EA29E2"/>
    <w:rsid w:val="00EB197B"/>
    <w:rsid w:val="00EB1CA5"/>
    <w:rsid w:val="00EC272C"/>
    <w:rsid w:val="00EC4D07"/>
    <w:rsid w:val="00EE0EEB"/>
    <w:rsid w:val="00EE16B9"/>
    <w:rsid w:val="00EE7E34"/>
    <w:rsid w:val="00EF6602"/>
    <w:rsid w:val="00EF70D3"/>
    <w:rsid w:val="00EF71EA"/>
    <w:rsid w:val="00F03F03"/>
    <w:rsid w:val="00F05C25"/>
    <w:rsid w:val="00F070BA"/>
    <w:rsid w:val="00F078E2"/>
    <w:rsid w:val="00F12238"/>
    <w:rsid w:val="00F216FE"/>
    <w:rsid w:val="00F27A84"/>
    <w:rsid w:val="00F30A89"/>
    <w:rsid w:val="00F3132F"/>
    <w:rsid w:val="00F31A70"/>
    <w:rsid w:val="00F450F6"/>
    <w:rsid w:val="00F51DD8"/>
    <w:rsid w:val="00F80F5D"/>
    <w:rsid w:val="00F91007"/>
    <w:rsid w:val="00FB08AF"/>
    <w:rsid w:val="00FB5DA0"/>
    <w:rsid w:val="00FB6762"/>
    <w:rsid w:val="00FC1F2D"/>
    <w:rsid w:val="00FC279D"/>
    <w:rsid w:val="00FC4079"/>
    <w:rsid w:val="00FC43F3"/>
    <w:rsid w:val="00FD2AA4"/>
    <w:rsid w:val="00FD7C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AD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45C"/>
    <w:pPr>
      <w:ind w:left="720"/>
      <w:contextualSpacing/>
    </w:pPr>
  </w:style>
  <w:style w:type="paragraph" w:styleId="a4">
    <w:name w:val="header"/>
    <w:basedOn w:val="a"/>
    <w:link w:val="Char"/>
    <w:uiPriority w:val="99"/>
    <w:semiHidden/>
    <w:unhideWhenUsed/>
    <w:rsid w:val="004F35E7"/>
    <w:pPr>
      <w:tabs>
        <w:tab w:val="center" w:pos="4153"/>
        <w:tab w:val="right" w:pos="8306"/>
      </w:tabs>
    </w:pPr>
  </w:style>
  <w:style w:type="character" w:customStyle="1" w:styleId="Char">
    <w:name w:val="Κεφαλίδα Char"/>
    <w:basedOn w:val="a0"/>
    <w:link w:val="a4"/>
    <w:uiPriority w:val="99"/>
    <w:semiHidden/>
    <w:rsid w:val="004F35E7"/>
    <w:rPr>
      <w:sz w:val="22"/>
      <w:szCs w:val="22"/>
      <w:lang w:eastAsia="en-US"/>
    </w:rPr>
  </w:style>
  <w:style w:type="paragraph" w:styleId="a5">
    <w:name w:val="footer"/>
    <w:basedOn w:val="a"/>
    <w:link w:val="Char0"/>
    <w:uiPriority w:val="99"/>
    <w:unhideWhenUsed/>
    <w:rsid w:val="004F35E7"/>
    <w:pPr>
      <w:tabs>
        <w:tab w:val="center" w:pos="4153"/>
        <w:tab w:val="right" w:pos="8306"/>
      </w:tabs>
    </w:pPr>
  </w:style>
  <w:style w:type="character" w:customStyle="1" w:styleId="Char0">
    <w:name w:val="Υποσέλιδο Char"/>
    <w:basedOn w:val="a0"/>
    <w:link w:val="a5"/>
    <w:uiPriority w:val="99"/>
    <w:rsid w:val="004F35E7"/>
    <w:rPr>
      <w:sz w:val="22"/>
      <w:szCs w:val="22"/>
      <w:lang w:eastAsia="en-US"/>
    </w:rPr>
  </w:style>
  <w:style w:type="paragraph" w:styleId="Web">
    <w:name w:val="Normal (Web)"/>
    <w:basedOn w:val="a"/>
    <w:uiPriority w:val="99"/>
    <w:unhideWhenUsed/>
    <w:rsid w:val="00F80F5D"/>
    <w:pPr>
      <w:spacing w:before="100" w:beforeAutospacing="1" w:after="100" w:afterAutospacing="1" w:line="240" w:lineRule="auto"/>
    </w:pPr>
    <w:rPr>
      <w:rFonts w:ascii="Times New Roman" w:eastAsia="Times New Roman" w:hAnsi="Times New Roman"/>
      <w:sz w:val="24"/>
      <w:szCs w:val="24"/>
      <w:lang w:eastAsia="el-GR"/>
    </w:rPr>
  </w:style>
  <w:style w:type="table" w:styleId="1-5">
    <w:name w:val="Medium Shading 1 Accent 5"/>
    <w:basedOn w:val="a1"/>
    <w:uiPriority w:val="63"/>
    <w:rsid w:val="005D7176"/>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a6">
    <w:name w:val="Table Grid"/>
    <w:basedOn w:val="a1"/>
    <w:uiPriority w:val="59"/>
    <w:rsid w:val="00D93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
    <w:name w:val="Hyperlink"/>
    <w:basedOn w:val="a0"/>
    <w:uiPriority w:val="99"/>
    <w:unhideWhenUsed/>
    <w:rsid w:val="009826D1"/>
    <w:rPr>
      <w:color w:val="0000FF" w:themeColor="hyperlink"/>
      <w:u w:val="single"/>
    </w:rPr>
  </w:style>
  <w:style w:type="table" w:styleId="-5">
    <w:name w:val="Light Shading Accent 5"/>
    <w:basedOn w:val="a1"/>
    <w:uiPriority w:val="60"/>
    <w:rsid w:val="00AC75F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8064472">
      <w:bodyDiv w:val="1"/>
      <w:marLeft w:val="0"/>
      <w:marRight w:val="0"/>
      <w:marTop w:val="0"/>
      <w:marBottom w:val="0"/>
      <w:divBdr>
        <w:top w:val="none" w:sz="0" w:space="0" w:color="auto"/>
        <w:left w:val="none" w:sz="0" w:space="0" w:color="auto"/>
        <w:bottom w:val="none" w:sz="0" w:space="0" w:color="auto"/>
        <w:right w:val="none" w:sz="0" w:space="0" w:color="auto"/>
      </w:divBdr>
    </w:div>
    <w:div w:id="10424381">
      <w:bodyDiv w:val="1"/>
      <w:marLeft w:val="0"/>
      <w:marRight w:val="0"/>
      <w:marTop w:val="0"/>
      <w:marBottom w:val="0"/>
      <w:divBdr>
        <w:top w:val="none" w:sz="0" w:space="0" w:color="auto"/>
        <w:left w:val="none" w:sz="0" w:space="0" w:color="auto"/>
        <w:bottom w:val="none" w:sz="0" w:space="0" w:color="auto"/>
        <w:right w:val="none" w:sz="0" w:space="0" w:color="auto"/>
      </w:divBdr>
    </w:div>
    <w:div w:id="18551329">
      <w:bodyDiv w:val="1"/>
      <w:marLeft w:val="0"/>
      <w:marRight w:val="0"/>
      <w:marTop w:val="0"/>
      <w:marBottom w:val="0"/>
      <w:divBdr>
        <w:top w:val="none" w:sz="0" w:space="0" w:color="auto"/>
        <w:left w:val="none" w:sz="0" w:space="0" w:color="auto"/>
        <w:bottom w:val="none" w:sz="0" w:space="0" w:color="auto"/>
        <w:right w:val="none" w:sz="0" w:space="0" w:color="auto"/>
      </w:divBdr>
    </w:div>
    <w:div w:id="104085138">
      <w:bodyDiv w:val="1"/>
      <w:marLeft w:val="0"/>
      <w:marRight w:val="0"/>
      <w:marTop w:val="0"/>
      <w:marBottom w:val="0"/>
      <w:divBdr>
        <w:top w:val="none" w:sz="0" w:space="0" w:color="auto"/>
        <w:left w:val="none" w:sz="0" w:space="0" w:color="auto"/>
        <w:bottom w:val="none" w:sz="0" w:space="0" w:color="auto"/>
        <w:right w:val="none" w:sz="0" w:space="0" w:color="auto"/>
      </w:divBdr>
    </w:div>
    <w:div w:id="229654381">
      <w:bodyDiv w:val="1"/>
      <w:marLeft w:val="0"/>
      <w:marRight w:val="0"/>
      <w:marTop w:val="0"/>
      <w:marBottom w:val="0"/>
      <w:divBdr>
        <w:top w:val="none" w:sz="0" w:space="0" w:color="auto"/>
        <w:left w:val="none" w:sz="0" w:space="0" w:color="auto"/>
        <w:bottom w:val="none" w:sz="0" w:space="0" w:color="auto"/>
        <w:right w:val="none" w:sz="0" w:space="0" w:color="auto"/>
      </w:divBdr>
    </w:div>
    <w:div w:id="248388481">
      <w:bodyDiv w:val="1"/>
      <w:marLeft w:val="0"/>
      <w:marRight w:val="0"/>
      <w:marTop w:val="0"/>
      <w:marBottom w:val="0"/>
      <w:divBdr>
        <w:top w:val="none" w:sz="0" w:space="0" w:color="auto"/>
        <w:left w:val="none" w:sz="0" w:space="0" w:color="auto"/>
        <w:bottom w:val="none" w:sz="0" w:space="0" w:color="auto"/>
        <w:right w:val="none" w:sz="0" w:space="0" w:color="auto"/>
      </w:divBdr>
    </w:div>
    <w:div w:id="250823876">
      <w:bodyDiv w:val="1"/>
      <w:marLeft w:val="0"/>
      <w:marRight w:val="0"/>
      <w:marTop w:val="0"/>
      <w:marBottom w:val="0"/>
      <w:divBdr>
        <w:top w:val="none" w:sz="0" w:space="0" w:color="auto"/>
        <w:left w:val="none" w:sz="0" w:space="0" w:color="auto"/>
        <w:bottom w:val="none" w:sz="0" w:space="0" w:color="auto"/>
        <w:right w:val="none" w:sz="0" w:space="0" w:color="auto"/>
      </w:divBdr>
    </w:div>
    <w:div w:id="390736730">
      <w:bodyDiv w:val="1"/>
      <w:marLeft w:val="0"/>
      <w:marRight w:val="0"/>
      <w:marTop w:val="0"/>
      <w:marBottom w:val="0"/>
      <w:divBdr>
        <w:top w:val="none" w:sz="0" w:space="0" w:color="auto"/>
        <w:left w:val="none" w:sz="0" w:space="0" w:color="auto"/>
        <w:bottom w:val="none" w:sz="0" w:space="0" w:color="auto"/>
        <w:right w:val="none" w:sz="0" w:space="0" w:color="auto"/>
      </w:divBdr>
    </w:div>
    <w:div w:id="459953857">
      <w:bodyDiv w:val="1"/>
      <w:marLeft w:val="0"/>
      <w:marRight w:val="0"/>
      <w:marTop w:val="0"/>
      <w:marBottom w:val="0"/>
      <w:divBdr>
        <w:top w:val="none" w:sz="0" w:space="0" w:color="auto"/>
        <w:left w:val="none" w:sz="0" w:space="0" w:color="auto"/>
        <w:bottom w:val="none" w:sz="0" w:space="0" w:color="auto"/>
        <w:right w:val="none" w:sz="0" w:space="0" w:color="auto"/>
      </w:divBdr>
    </w:div>
    <w:div w:id="621301281">
      <w:bodyDiv w:val="1"/>
      <w:marLeft w:val="0"/>
      <w:marRight w:val="0"/>
      <w:marTop w:val="0"/>
      <w:marBottom w:val="0"/>
      <w:divBdr>
        <w:top w:val="none" w:sz="0" w:space="0" w:color="auto"/>
        <w:left w:val="none" w:sz="0" w:space="0" w:color="auto"/>
        <w:bottom w:val="none" w:sz="0" w:space="0" w:color="auto"/>
        <w:right w:val="none" w:sz="0" w:space="0" w:color="auto"/>
      </w:divBdr>
    </w:div>
    <w:div w:id="643855478">
      <w:bodyDiv w:val="1"/>
      <w:marLeft w:val="0"/>
      <w:marRight w:val="0"/>
      <w:marTop w:val="0"/>
      <w:marBottom w:val="0"/>
      <w:divBdr>
        <w:top w:val="none" w:sz="0" w:space="0" w:color="auto"/>
        <w:left w:val="none" w:sz="0" w:space="0" w:color="auto"/>
        <w:bottom w:val="none" w:sz="0" w:space="0" w:color="auto"/>
        <w:right w:val="none" w:sz="0" w:space="0" w:color="auto"/>
      </w:divBdr>
    </w:div>
    <w:div w:id="713506953">
      <w:bodyDiv w:val="1"/>
      <w:marLeft w:val="0"/>
      <w:marRight w:val="0"/>
      <w:marTop w:val="0"/>
      <w:marBottom w:val="0"/>
      <w:divBdr>
        <w:top w:val="none" w:sz="0" w:space="0" w:color="auto"/>
        <w:left w:val="none" w:sz="0" w:space="0" w:color="auto"/>
        <w:bottom w:val="none" w:sz="0" w:space="0" w:color="auto"/>
        <w:right w:val="none" w:sz="0" w:space="0" w:color="auto"/>
      </w:divBdr>
    </w:div>
    <w:div w:id="746615522">
      <w:bodyDiv w:val="1"/>
      <w:marLeft w:val="0"/>
      <w:marRight w:val="0"/>
      <w:marTop w:val="0"/>
      <w:marBottom w:val="0"/>
      <w:divBdr>
        <w:top w:val="none" w:sz="0" w:space="0" w:color="auto"/>
        <w:left w:val="none" w:sz="0" w:space="0" w:color="auto"/>
        <w:bottom w:val="none" w:sz="0" w:space="0" w:color="auto"/>
        <w:right w:val="none" w:sz="0" w:space="0" w:color="auto"/>
      </w:divBdr>
    </w:div>
    <w:div w:id="789473458">
      <w:bodyDiv w:val="1"/>
      <w:marLeft w:val="0"/>
      <w:marRight w:val="0"/>
      <w:marTop w:val="0"/>
      <w:marBottom w:val="0"/>
      <w:divBdr>
        <w:top w:val="none" w:sz="0" w:space="0" w:color="auto"/>
        <w:left w:val="none" w:sz="0" w:space="0" w:color="auto"/>
        <w:bottom w:val="none" w:sz="0" w:space="0" w:color="auto"/>
        <w:right w:val="none" w:sz="0" w:space="0" w:color="auto"/>
      </w:divBdr>
    </w:div>
    <w:div w:id="804935411">
      <w:bodyDiv w:val="1"/>
      <w:marLeft w:val="0"/>
      <w:marRight w:val="0"/>
      <w:marTop w:val="0"/>
      <w:marBottom w:val="0"/>
      <w:divBdr>
        <w:top w:val="none" w:sz="0" w:space="0" w:color="auto"/>
        <w:left w:val="none" w:sz="0" w:space="0" w:color="auto"/>
        <w:bottom w:val="none" w:sz="0" w:space="0" w:color="auto"/>
        <w:right w:val="none" w:sz="0" w:space="0" w:color="auto"/>
      </w:divBdr>
    </w:div>
    <w:div w:id="876741497">
      <w:bodyDiv w:val="1"/>
      <w:marLeft w:val="0"/>
      <w:marRight w:val="0"/>
      <w:marTop w:val="0"/>
      <w:marBottom w:val="0"/>
      <w:divBdr>
        <w:top w:val="none" w:sz="0" w:space="0" w:color="auto"/>
        <w:left w:val="none" w:sz="0" w:space="0" w:color="auto"/>
        <w:bottom w:val="none" w:sz="0" w:space="0" w:color="auto"/>
        <w:right w:val="none" w:sz="0" w:space="0" w:color="auto"/>
      </w:divBdr>
    </w:div>
    <w:div w:id="1007948127">
      <w:bodyDiv w:val="1"/>
      <w:marLeft w:val="0"/>
      <w:marRight w:val="0"/>
      <w:marTop w:val="0"/>
      <w:marBottom w:val="0"/>
      <w:divBdr>
        <w:top w:val="none" w:sz="0" w:space="0" w:color="auto"/>
        <w:left w:val="none" w:sz="0" w:space="0" w:color="auto"/>
        <w:bottom w:val="none" w:sz="0" w:space="0" w:color="auto"/>
        <w:right w:val="none" w:sz="0" w:space="0" w:color="auto"/>
      </w:divBdr>
    </w:div>
    <w:div w:id="1035693723">
      <w:bodyDiv w:val="1"/>
      <w:marLeft w:val="0"/>
      <w:marRight w:val="0"/>
      <w:marTop w:val="0"/>
      <w:marBottom w:val="0"/>
      <w:divBdr>
        <w:top w:val="none" w:sz="0" w:space="0" w:color="auto"/>
        <w:left w:val="none" w:sz="0" w:space="0" w:color="auto"/>
        <w:bottom w:val="none" w:sz="0" w:space="0" w:color="auto"/>
        <w:right w:val="none" w:sz="0" w:space="0" w:color="auto"/>
      </w:divBdr>
    </w:div>
    <w:div w:id="1109475164">
      <w:bodyDiv w:val="1"/>
      <w:marLeft w:val="0"/>
      <w:marRight w:val="0"/>
      <w:marTop w:val="0"/>
      <w:marBottom w:val="0"/>
      <w:divBdr>
        <w:top w:val="none" w:sz="0" w:space="0" w:color="auto"/>
        <w:left w:val="none" w:sz="0" w:space="0" w:color="auto"/>
        <w:bottom w:val="none" w:sz="0" w:space="0" w:color="auto"/>
        <w:right w:val="none" w:sz="0" w:space="0" w:color="auto"/>
      </w:divBdr>
    </w:div>
    <w:div w:id="1319385237">
      <w:bodyDiv w:val="1"/>
      <w:marLeft w:val="0"/>
      <w:marRight w:val="0"/>
      <w:marTop w:val="0"/>
      <w:marBottom w:val="0"/>
      <w:divBdr>
        <w:top w:val="none" w:sz="0" w:space="0" w:color="auto"/>
        <w:left w:val="none" w:sz="0" w:space="0" w:color="auto"/>
        <w:bottom w:val="none" w:sz="0" w:space="0" w:color="auto"/>
        <w:right w:val="none" w:sz="0" w:space="0" w:color="auto"/>
      </w:divBdr>
    </w:div>
    <w:div w:id="1331635347">
      <w:bodyDiv w:val="1"/>
      <w:marLeft w:val="0"/>
      <w:marRight w:val="0"/>
      <w:marTop w:val="0"/>
      <w:marBottom w:val="0"/>
      <w:divBdr>
        <w:top w:val="none" w:sz="0" w:space="0" w:color="auto"/>
        <w:left w:val="none" w:sz="0" w:space="0" w:color="auto"/>
        <w:bottom w:val="none" w:sz="0" w:space="0" w:color="auto"/>
        <w:right w:val="none" w:sz="0" w:space="0" w:color="auto"/>
      </w:divBdr>
    </w:div>
    <w:div w:id="1369068653">
      <w:bodyDiv w:val="1"/>
      <w:marLeft w:val="0"/>
      <w:marRight w:val="0"/>
      <w:marTop w:val="0"/>
      <w:marBottom w:val="0"/>
      <w:divBdr>
        <w:top w:val="none" w:sz="0" w:space="0" w:color="auto"/>
        <w:left w:val="none" w:sz="0" w:space="0" w:color="auto"/>
        <w:bottom w:val="none" w:sz="0" w:space="0" w:color="auto"/>
        <w:right w:val="none" w:sz="0" w:space="0" w:color="auto"/>
      </w:divBdr>
    </w:div>
    <w:div w:id="1412000825">
      <w:bodyDiv w:val="1"/>
      <w:marLeft w:val="0"/>
      <w:marRight w:val="0"/>
      <w:marTop w:val="0"/>
      <w:marBottom w:val="0"/>
      <w:divBdr>
        <w:top w:val="none" w:sz="0" w:space="0" w:color="auto"/>
        <w:left w:val="none" w:sz="0" w:space="0" w:color="auto"/>
        <w:bottom w:val="none" w:sz="0" w:space="0" w:color="auto"/>
        <w:right w:val="none" w:sz="0" w:space="0" w:color="auto"/>
      </w:divBdr>
    </w:div>
    <w:div w:id="1437365952">
      <w:bodyDiv w:val="1"/>
      <w:marLeft w:val="0"/>
      <w:marRight w:val="0"/>
      <w:marTop w:val="0"/>
      <w:marBottom w:val="0"/>
      <w:divBdr>
        <w:top w:val="none" w:sz="0" w:space="0" w:color="auto"/>
        <w:left w:val="none" w:sz="0" w:space="0" w:color="auto"/>
        <w:bottom w:val="none" w:sz="0" w:space="0" w:color="auto"/>
        <w:right w:val="none" w:sz="0" w:space="0" w:color="auto"/>
      </w:divBdr>
    </w:div>
    <w:div w:id="1505121093">
      <w:bodyDiv w:val="1"/>
      <w:marLeft w:val="0"/>
      <w:marRight w:val="0"/>
      <w:marTop w:val="0"/>
      <w:marBottom w:val="0"/>
      <w:divBdr>
        <w:top w:val="none" w:sz="0" w:space="0" w:color="auto"/>
        <w:left w:val="none" w:sz="0" w:space="0" w:color="auto"/>
        <w:bottom w:val="none" w:sz="0" w:space="0" w:color="auto"/>
        <w:right w:val="none" w:sz="0" w:space="0" w:color="auto"/>
      </w:divBdr>
    </w:div>
    <w:div w:id="1565221301">
      <w:bodyDiv w:val="1"/>
      <w:marLeft w:val="0"/>
      <w:marRight w:val="0"/>
      <w:marTop w:val="0"/>
      <w:marBottom w:val="0"/>
      <w:divBdr>
        <w:top w:val="none" w:sz="0" w:space="0" w:color="auto"/>
        <w:left w:val="none" w:sz="0" w:space="0" w:color="auto"/>
        <w:bottom w:val="none" w:sz="0" w:space="0" w:color="auto"/>
        <w:right w:val="none" w:sz="0" w:space="0" w:color="auto"/>
      </w:divBdr>
    </w:div>
    <w:div w:id="1568221966">
      <w:bodyDiv w:val="1"/>
      <w:marLeft w:val="0"/>
      <w:marRight w:val="0"/>
      <w:marTop w:val="0"/>
      <w:marBottom w:val="0"/>
      <w:divBdr>
        <w:top w:val="none" w:sz="0" w:space="0" w:color="auto"/>
        <w:left w:val="none" w:sz="0" w:space="0" w:color="auto"/>
        <w:bottom w:val="none" w:sz="0" w:space="0" w:color="auto"/>
        <w:right w:val="none" w:sz="0" w:space="0" w:color="auto"/>
      </w:divBdr>
    </w:div>
    <w:div w:id="1640459778">
      <w:bodyDiv w:val="1"/>
      <w:marLeft w:val="0"/>
      <w:marRight w:val="0"/>
      <w:marTop w:val="0"/>
      <w:marBottom w:val="0"/>
      <w:divBdr>
        <w:top w:val="none" w:sz="0" w:space="0" w:color="auto"/>
        <w:left w:val="none" w:sz="0" w:space="0" w:color="auto"/>
        <w:bottom w:val="none" w:sz="0" w:space="0" w:color="auto"/>
        <w:right w:val="none" w:sz="0" w:space="0" w:color="auto"/>
      </w:divBdr>
    </w:div>
    <w:div w:id="1675259544">
      <w:bodyDiv w:val="1"/>
      <w:marLeft w:val="0"/>
      <w:marRight w:val="0"/>
      <w:marTop w:val="0"/>
      <w:marBottom w:val="0"/>
      <w:divBdr>
        <w:top w:val="none" w:sz="0" w:space="0" w:color="auto"/>
        <w:left w:val="none" w:sz="0" w:space="0" w:color="auto"/>
        <w:bottom w:val="none" w:sz="0" w:space="0" w:color="auto"/>
        <w:right w:val="none" w:sz="0" w:space="0" w:color="auto"/>
      </w:divBdr>
    </w:div>
    <w:div w:id="1756396770">
      <w:bodyDiv w:val="1"/>
      <w:marLeft w:val="0"/>
      <w:marRight w:val="0"/>
      <w:marTop w:val="0"/>
      <w:marBottom w:val="0"/>
      <w:divBdr>
        <w:top w:val="none" w:sz="0" w:space="0" w:color="auto"/>
        <w:left w:val="none" w:sz="0" w:space="0" w:color="auto"/>
        <w:bottom w:val="none" w:sz="0" w:space="0" w:color="auto"/>
        <w:right w:val="none" w:sz="0" w:space="0" w:color="auto"/>
      </w:divBdr>
    </w:div>
    <w:div w:id="1774203988">
      <w:bodyDiv w:val="1"/>
      <w:marLeft w:val="0"/>
      <w:marRight w:val="0"/>
      <w:marTop w:val="0"/>
      <w:marBottom w:val="0"/>
      <w:divBdr>
        <w:top w:val="none" w:sz="0" w:space="0" w:color="auto"/>
        <w:left w:val="none" w:sz="0" w:space="0" w:color="auto"/>
        <w:bottom w:val="none" w:sz="0" w:space="0" w:color="auto"/>
        <w:right w:val="none" w:sz="0" w:space="0" w:color="auto"/>
      </w:divBdr>
    </w:div>
    <w:div w:id="1861580652">
      <w:bodyDiv w:val="1"/>
      <w:marLeft w:val="0"/>
      <w:marRight w:val="0"/>
      <w:marTop w:val="0"/>
      <w:marBottom w:val="0"/>
      <w:divBdr>
        <w:top w:val="none" w:sz="0" w:space="0" w:color="auto"/>
        <w:left w:val="none" w:sz="0" w:space="0" w:color="auto"/>
        <w:bottom w:val="none" w:sz="0" w:space="0" w:color="auto"/>
        <w:right w:val="none" w:sz="0" w:space="0" w:color="auto"/>
      </w:divBdr>
    </w:div>
    <w:div w:id="1872107805">
      <w:bodyDiv w:val="1"/>
      <w:marLeft w:val="0"/>
      <w:marRight w:val="0"/>
      <w:marTop w:val="0"/>
      <w:marBottom w:val="0"/>
      <w:divBdr>
        <w:top w:val="none" w:sz="0" w:space="0" w:color="auto"/>
        <w:left w:val="none" w:sz="0" w:space="0" w:color="auto"/>
        <w:bottom w:val="none" w:sz="0" w:space="0" w:color="auto"/>
        <w:right w:val="none" w:sz="0" w:space="0" w:color="auto"/>
      </w:divBdr>
    </w:div>
    <w:div w:id="1907719192">
      <w:bodyDiv w:val="1"/>
      <w:marLeft w:val="0"/>
      <w:marRight w:val="0"/>
      <w:marTop w:val="0"/>
      <w:marBottom w:val="0"/>
      <w:divBdr>
        <w:top w:val="none" w:sz="0" w:space="0" w:color="auto"/>
        <w:left w:val="none" w:sz="0" w:space="0" w:color="auto"/>
        <w:bottom w:val="none" w:sz="0" w:space="0" w:color="auto"/>
        <w:right w:val="none" w:sz="0" w:space="0" w:color="auto"/>
      </w:divBdr>
    </w:div>
    <w:div w:id="2005433172">
      <w:bodyDiv w:val="1"/>
      <w:marLeft w:val="0"/>
      <w:marRight w:val="0"/>
      <w:marTop w:val="0"/>
      <w:marBottom w:val="0"/>
      <w:divBdr>
        <w:top w:val="none" w:sz="0" w:space="0" w:color="auto"/>
        <w:left w:val="none" w:sz="0" w:space="0" w:color="auto"/>
        <w:bottom w:val="none" w:sz="0" w:space="0" w:color="auto"/>
        <w:right w:val="none" w:sz="0" w:space="0" w:color="auto"/>
      </w:divBdr>
    </w:div>
    <w:div w:id="2048337648">
      <w:bodyDiv w:val="1"/>
      <w:marLeft w:val="0"/>
      <w:marRight w:val="0"/>
      <w:marTop w:val="0"/>
      <w:marBottom w:val="0"/>
      <w:divBdr>
        <w:top w:val="none" w:sz="0" w:space="0" w:color="auto"/>
        <w:left w:val="none" w:sz="0" w:space="0" w:color="auto"/>
        <w:bottom w:val="none" w:sz="0" w:space="0" w:color="auto"/>
        <w:right w:val="none" w:sz="0" w:space="0" w:color="auto"/>
      </w:divBdr>
    </w:div>
    <w:div w:id="210510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BC487-3C8D-44CF-85B3-51678B41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4650</Words>
  <Characters>25115</Characters>
  <Application>Microsoft Office Word</Application>
  <DocSecurity>0</DocSecurity>
  <Lines>209</Lines>
  <Paragraphs>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vkar</dc:creator>
  <cp:lastModifiedBy>ivou</cp:lastModifiedBy>
  <cp:revision>2</cp:revision>
  <cp:lastPrinted>2015-10-05T09:23:00Z</cp:lastPrinted>
  <dcterms:created xsi:type="dcterms:W3CDTF">2015-10-05T10:02:00Z</dcterms:created>
  <dcterms:modified xsi:type="dcterms:W3CDTF">2015-10-05T10:02:00Z</dcterms:modified>
</cp:coreProperties>
</file>