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2377" w:rsidRDefault="00F52377" w:rsidP="00AE4E24">
      <w:pPr>
        <w:rPr>
          <w:rFonts w:asciiTheme="minorHAnsi" w:hAnsiTheme="minorHAnsi" w:cstheme="minorHAnsi"/>
          <w:b/>
          <w:sz w:val="28"/>
          <w:szCs w:val="28"/>
          <w:lang w:val="en-US"/>
        </w:rPr>
      </w:pPr>
      <w:r>
        <w:rPr>
          <w:rFonts w:asciiTheme="minorHAnsi" w:hAnsiTheme="minorHAnsi" w:cstheme="minorHAnsi"/>
          <w:b/>
          <w:sz w:val="28"/>
          <w:szCs w:val="28"/>
          <w:lang w:val="en-US"/>
        </w:rPr>
        <w:t>-</w:t>
      </w:r>
    </w:p>
    <w:p w:rsidR="00B54A73" w:rsidRPr="008E1EDE" w:rsidRDefault="00F52377" w:rsidP="00AE4E24">
      <w:pPr>
        <w:rPr>
          <w:rFonts w:asciiTheme="minorHAnsi" w:hAnsiTheme="minorHAnsi" w:cstheme="minorHAnsi"/>
          <w:b/>
          <w:sz w:val="24"/>
          <w:szCs w:val="24"/>
        </w:rPr>
      </w:pPr>
      <w:r>
        <w:rPr>
          <w:rFonts w:asciiTheme="minorHAnsi" w:hAnsiTheme="minorHAnsi" w:cstheme="minorHAnsi"/>
          <w:b/>
          <w:sz w:val="28"/>
          <w:szCs w:val="28"/>
          <w:lang w:val="en-US"/>
        </w:rPr>
        <w:t>-</w:t>
      </w:r>
      <w:r w:rsidR="00AB63A4" w:rsidRPr="00A15C57">
        <w:rPr>
          <w:rFonts w:asciiTheme="minorHAnsi" w:hAnsiTheme="minorHAnsi" w:cstheme="minorHAnsi"/>
          <w:b/>
          <w:sz w:val="28"/>
          <w:szCs w:val="28"/>
        </w:rPr>
        <w:t xml:space="preserve">                                                    </w:t>
      </w:r>
      <w:r w:rsidR="00AB63A4" w:rsidRPr="00AB63A4">
        <w:rPr>
          <w:rFonts w:asciiTheme="minorHAnsi" w:hAnsiTheme="minorHAnsi" w:cstheme="minorHAnsi"/>
          <w:b/>
          <w:sz w:val="28"/>
          <w:szCs w:val="28"/>
        </w:rPr>
        <w:t xml:space="preserve">          </w:t>
      </w:r>
      <w:r w:rsidR="00CB6DF4">
        <w:rPr>
          <w:rFonts w:asciiTheme="minorHAnsi" w:hAnsiTheme="minorHAnsi" w:cstheme="minorHAnsi"/>
          <w:b/>
          <w:sz w:val="28"/>
          <w:szCs w:val="28"/>
        </w:rPr>
        <w:t xml:space="preserve">                               ΣΧΕΔΙΟ</w:t>
      </w:r>
      <w:r w:rsidR="00AB63A4" w:rsidRPr="00AB63A4">
        <w:rPr>
          <w:rFonts w:asciiTheme="minorHAnsi" w:hAnsiTheme="minorHAnsi" w:cstheme="minorHAnsi"/>
          <w:b/>
          <w:sz w:val="28"/>
          <w:szCs w:val="28"/>
        </w:rPr>
        <w:t xml:space="preserve">        </w:t>
      </w:r>
      <w:r w:rsidR="00AB63A4" w:rsidRPr="00A15C57">
        <w:rPr>
          <w:rFonts w:asciiTheme="minorHAnsi" w:hAnsiTheme="minorHAnsi" w:cstheme="minorHAnsi"/>
          <w:b/>
          <w:sz w:val="28"/>
          <w:szCs w:val="28"/>
        </w:rPr>
        <w:t xml:space="preserve">   </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ΕΛΛΗΝΙΚΗ ΔΗΜΟΚΡΑΤΙΑ                                                             </w:t>
      </w:r>
      <w:r w:rsidRPr="00AE4E24">
        <w:rPr>
          <w:rFonts w:asciiTheme="minorHAnsi" w:hAnsiTheme="minorHAnsi" w:cstheme="minorHAnsi"/>
          <w:sz w:val="24"/>
          <w:szCs w:val="24"/>
        </w:rPr>
        <w:t xml:space="preserve">ΑΓ. ΠΑΡΑΣΚΕΥΗ </w:t>
      </w:r>
      <w:r w:rsidR="003C3F74">
        <w:rPr>
          <w:rFonts w:asciiTheme="minorHAnsi" w:hAnsiTheme="minorHAnsi" w:cstheme="minorHAnsi"/>
          <w:sz w:val="24"/>
          <w:szCs w:val="24"/>
        </w:rPr>
        <w:t>…..</w:t>
      </w:r>
      <w:r w:rsidRPr="00AE4E24">
        <w:rPr>
          <w:rFonts w:asciiTheme="minorHAnsi" w:hAnsiTheme="minorHAnsi" w:cstheme="minorHAnsi"/>
          <w:sz w:val="24"/>
          <w:szCs w:val="24"/>
        </w:rPr>
        <w:t>/</w:t>
      </w:r>
      <w:r w:rsidR="004911D6" w:rsidRPr="008B077A">
        <w:rPr>
          <w:rFonts w:asciiTheme="minorHAnsi" w:hAnsiTheme="minorHAnsi" w:cstheme="minorHAnsi"/>
          <w:sz w:val="24"/>
          <w:szCs w:val="24"/>
        </w:rPr>
        <w:t>1</w:t>
      </w:r>
      <w:r w:rsidR="003C3F74">
        <w:rPr>
          <w:rFonts w:asciiTheme="minorHAnsi" w:hAnsiTheme="minorHAnsi" w:cstheme="minorHAnsi"/>
          <w:sz w:val="24"/>
          <w:szCs w:val="24"/>
        </w:rPr>
        <w:t>2</w:t>
      </w:r>
      <w:r w:rsidRPr="00AE4E24">
        <w:rPr>
          <w:rFonts w:asciiTheme="minorHAnsi" w:hAnsiTheme="minorHAnsi" w:cstheme="minorHAnsi"/>
          <w:sz w:val="24"/>
          <w:szCs w:val="24"/>
        </w:rPr>
        <w:t>/201</w:t>
      </w:r>
      <w:r w:rsidR="00415007">
        <w:rPr>
          <w:rFonts w:asciiTheme="minorHAnsi" w:hAnsiTheme="minorHAnsi" w:cstheme="minorHAnsi"/>
          <w:sz w:val="24"/>
          <w:szCs w:val="24"/>
        </w:rPr>
        <w:t>4</w:t>
      </w:r>
    </w:p>
    <w:p w:rsidR="00AE4E24" w:rsidRPr="00AE4E24" w:rsidRDefault="00AE4E24" w:rsidP="00AE4E24">
      <w:pPr>
        <w:rPr>
          <w:rFonts w:asciiTheme="minorHAnsi" w:hAnsiTheme="minorHAnsi" w:cstheme="minorHAnsi"/>
          <w:b/>
          <w:sz w:val="24"/>
          <w:szCs w:val="24"/>
        </w:rPr>
      </w:pPr>
      <w:r w:rsidRPr="00AE4E24">
        <w:rPr>
          <w:rFonts w:asciiTheme="minorHAnsi" w:hAnsiTheme="minorHAnsi" w:cstheme="minorHAnsi"/>
          <w:b/>
          <w:sz w:val="24"/>
          <w:szCs w:val="24"/>
        </w:rPr>
        <w:t xml:space="preserve">ΝΟΜΟΣ ΑΤΤΙΚΗΣ </w:t>
      </w:r>
    </w:p>
    <w:p w:rsidR="00AE4E24" w:rsidRPr="00B92CAD" w:rsidRDefault="00AE4E24" w:rsidP="00AE4E24">
      <w:pPr>
        <w:rPr>
          <w:rFonts w:asciiTheme="minorHAnsi" w:hAnsiTheme="minorHAnsi" w:cstheme="minorHAnsi"/>
          <w:bCs/>
          <w:sz w:val="24"/>
          <w:szCs w:val="24"/>
        </w:rPr>
      </w:pPr>
      <w:r w:rsidRPr="00AE4E24">
        <w:rPr>
          <w:rFonts w:asciiTheme="minorHAnsi" w:hAnsiTheme="minorHAnsi" w:cstheme="minorHAnsi"/>
          <w:b/>
          <w:sz w:val="24"/>
          <w:szCs w:val="24"/>
        </w:rPr>
        <w:t>ΔΗΜΟΣ ΑΓΙΑΣ ΠΑΡΑΣΚΕΥΗΣ</w:t>
      </w:r>
      <w:r w:rsidRPr="00AE4E24">
        <w:rPr>
          <w:rFonts w:asciiTheme="minorHAnsi" w:hAnsiTheme="minorHAnsi" w:cstheme="minorHAnsi"/>
          <w:b/>
          <w:sz w:val="24"/>
          <w:szCs w:val="24"/>
        </w:rPr>
        <w:tab/>
      </w:r>
      <w:r w:rsidRPr="00AE4E24">
        <w:rPr>
          <w:rFonts w:asciiTheme="minorHAnsi" w:hAnsiTheme="minorHAnsi" w:cstheme="minorHAnsi"/>
          <w:b/>
          <w:sz w:val="24"/>
          <w:szCs w:val="24"/>
        </w:rPr>
        <w:tab/>
        <w:t xml:space="preserve">                                         </w:t>
      </w:r>
      <w:r w:rsidRPr="00AE4E24">
        <w:rPr>
          <w:rFonts w:asciiTheme="minorHAnsi" w:hAnsiTheme="minorHAnsi" w:cstheme="minorHAnsi"/>
          <w:sz w:val="24"/>
          <w:szCs w:val="24"/>
        </w:rPr>
        <w:t xml:space="preserve">Αρ. Πρωτ. </w:t>
      </w:r>
      <w:r w:rsidR="003C3F74">
        <w:rPr>
          <w:rFonts w:asciiTheme="minorHAnsi" w:hAnsiTheme="minorHAnsi" w:cstheme="minorHAnsi"/>
          <w:sz w:val="24"/>
          <w:szCs w:val="24"/>
        </w:rPr>
        <w:t>……………</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Δ/ΝΣΗ ΟΙΚΟΝΟΜΙΚΩΝ ΥΠΗΡΕΣΙΩΝ</w:t>
      </w:r>
    </w:p>
    <w:p w:rsidR="00AE4E24" w:rsidRPr="00AE4E24" w:rsidRDefault="00AE4E24" w:rsidP="00AE4E24">
      <w:pPr>
        <w:spacing w:line="276" w:lineRule="auto"/>
        <w:jc w:val="both"/>
        <w:rPr>
          <w:rFonts w:asciiTheme="minorHAnsi" w:hAnsiTheme="minorHAnsi" w:cstheme="minorHAnsi"/>
          <w:sz w:val="24"/>
          <w:szCs w:val="24"/>
        </w:rPr>
      </w:pPr>
      <w:r w:rsidRPr="00AE4E24">
        <w:rPr>
          <w:rFonts w:asciiTheme="minorHAnsi" w:hAnsiTheme="minorHAnsi" w:cstheme="minorHAnsi"/>
          <w:sz w:val="24"/>
          <w:szCs w:val="24"/>
        </w:rPr>
        <w:t>ΤΜΗΜΑ ΛΟΓΙΣΤΗΡΙΟΥ ΠΡΟΥΠΟΛΟΓΙΣΜΟΥ</w:t>
      </w:r>
    </w:p>
    <w:p w:rsidR="00AE4E24" w:rsidRPr="00AE4E24" w:rsidRDefault="00AE4E24" w:rsidP="00AE4E24">
      <w:pPr>
        <w:spacing w:line="276" w:lineRule="auto"/>
        <w:jc w:val="both"/>
        <w:rPr>
          <w:rFonts w:ascii="Arial" w:hAnsi="Arial" w:cs="Arial"/>
          <w:sz w:val="24"/>
          <w:szCs w:val="24"/>
        </w:rPr>
      </w:pPr>
      <w:r w:rsidRPr="00AE4E24">
        <w:rPr>
          <w:rFonts w:asciiTheme="minorHAnsi" w:hAnsiTheme="minorHAnsi" w:cstheme="minorHAnsi"/>
          <w:sz w:val="24"/>
          <w:szCs w:val="24"/>
        </w:rPr>
        <w:t>&amp; ΠΡΟΜΗΘΕΙΩΝ</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Ταχ. Δ/νση Λεωφ. Μεσογείων 415 – 417</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Τ.Κ. 15343, Αγία Παρασκευή</w:t>
      </w:r>
    </w:p>
    <w:p w:rsidR="00AE4E24" w:rsidRPr="00136568"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 xml:space="preserve">Πληροφορίες κ. </w:t>
      </w:r>
      <w:r w:rsidR="00136568">
        <w:rPr>
          <w:rFonts w:asciiTheme="minorHAnsi" w:hAnsiTheme="minorHAnsi" w:cstheme="minorHAnsi"/>
          <w:sz w:val="24"/>
          <w:szCs w:val="24"/>
        </w:rPr>
        <w:t>Σκουλουδάκης Απόστολος</w:t>
      </w:r>
    </w:p>
    <w:p w:rsidR="00AE4E24" w:rsidRPr="00AE4E24" w:rsidRDefault="00AE4E24" w:rsidP="00AE4E24">
      <w:pPr>
        <w:rPr>
          <w:rFonts w:asciiTheme="minorHAnsi" w:hAnsiTheme="minorHAnsi" w:cstheme="minorHAnsi"/>
          <w:sz w:val="24"/>
          <w:szCs w:val="24"/>
        </w:rPr>
      </w:pPr>
      <w:r w:rsidRPr="00AE4E24">
        <w:rPr>
          <w:rFonts w:asciiTheme="minorHAnsi" w:hAnsiTheme="minorHAnsi" w:cstheme="minorHAnsi"/>
          <w:sz w:val="24"/>
          <w:szCs w:val="24"/>
        </w:rPr>
        <w:t>Τηλ.:  2132004547</w:t>
      </w:r>
    </w:p>
    <w:p w:rsidR="001A65E7" w:rsidRPr="005E7FE8" w:rsidRDefault="001A65E7" w:rsidP="001A65E7">
      <w:pPr>
        <w:spacing w:line="360" w:lineRule="auto"/>
        <w:jc w:val="both"/>
        <w:rPr>
          <w:rFonts w:ascii="Arial" w:hAnsi="Arial" w:cs="Arial"/>
          <w:sz w:val="24"/>
          <w:szCs w:val="24"/>
        </w:rPr>
      </w:pPr>
    </w:p>
    <w:p w:rsidR="00123601" w:rsidRPr="00F7014B" w:rsidRDefault="008D0477" w:rsidP="00F7014B">
      <w:pPr>
        <w:spacing w:line="276" w:lineRule="auto"/>
        <w:ind w:firstLine="4678"/>
        <w:jc w:val="both"/>
        <w:rPr>
          <w:rFonts w:asciiTheme="minorHAnsi" w:hAnsiTheme="minorHAnsi" w:cstheme="minorHAnsi"/>
          <w:sz w:val="24"/>
          <w:szCs w:val="24"/>
        </w:rPr>
      </w:pPr>
      <w:r w:rsidRPr="00F7014B">
        <w:rPr>
          <w:rFonts w:asciiTheme="minorHAnsi" w:hAnsiTheme="minorHAnsi" w:cstheme="minorHAnsi"/>
          <w:sz w:val="24"/>
          <w:szCs w:val="24"/>
        </w:rPr>
        <w:t xml:space="preserve">Προς </w:t>
      </w:r>
      <w:r w:rsidR="00060DC2">
        <w:rPr>
          <w:rFonts w:asciiTheme="minorHAnsi" w:hAnsiTheme="minorHAnsi" w:cstheme="minorHAnsi"/>
          <w:sz w:val="24"/>
          <w:szCs w:val="24"/>
        </w:rPr>
        <w:t>το</w:t>
      </w:r>
      <w:r w:rsidRPr="00F7014B">
        <w:rPr>
          <w:rFonts w:asciiTheme="minorHAnsi" w:hAnsiTheme="minorHAnsi" w:cstheme="minorHAnsi"/>
          <w:sz w:val="24"/>
          <w:szCs w:val="24"/>
        </w:rPr>
        <w:t xml:space="preserve"> </w:t>
      </w:r>
      <w:r w:rsidR="00060DC2">
        <w:rPr>
          <w:rFonts w:asciiTheme="minorHAnsi" w:hAnsiTheme="minorHAnsi" w:cstheme="minorHAnsi"/>
          <w:sz w:val="24"/>
          <w:szCs w:val="24"/>
        </w:rPr>
        <w:t>Δημοτικό Συμβούλιο</w:t>
      </w:r>
    </w:p>
    <w:p w:rsidR="008E1EDE" w:rsidRPr="00F7014B" w:rsidRDefault="008E1EDE" w:rsidP="00F7014B">
      <w:pPr>
        <w:spacing w:line="276" w:lineRule="auto"/>
        <w:ind w:firstLine="4678"/>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b/>
          <w:sz w:val="24"/>
          <w:szCs w:val="24"/>
        </w:rPr>
        <w:t xml:space="preserve">ΘΕΜΑ: </w:t>
      </w:r>
      <w:r w:rsidRPr="00F7014B">
        <w:rPr>
          <w:rFonts w:asciiTheme="minorHAnsi" w:hAnsiTheme="minorHAnsi" w:cstheme="minorHAnsi"/>
          <w:sz w:val="24"/>
          <w:szCs w:val="24"/>
        </w:rPr>
        <w:t>«</w:t>
      </w:r>
      <w:r w:rsidR="000E0862" w:rsidRPr="00BF636F">
        <w:rPr>
          <w:rFonts w:asciiTheme="minorHAnsi" w:hAnsiTheme="minorHAnsi" w:cstheme="minorHAnsi"/>
          <w:sz w:val="24"/>
          <w:szCs w:val="24"/>
        </w:rPr>
        <w:t>Έγκριση της 1</w:t>
      </w:r>
      <w:r w:rsidR="000E0862">
        <w:rPr>
          <w:rFonts w:asciiTheme="minorHAnsi" w:hAnsiTheme="minorHAnsi" w:cstheme="minorHAnsi"/>
          <w:sz w:val="24"/>
          <w:szCs w:val="24"/>
        </w:rPr>
        <w:t>4</w:t>
      </w:r>
      <w:r w:rsidR="000E0862" w:rsidRPr="00BF636F">
        <w:rPr>
          <w:rFonts w:asciiTheme="minorHAnsi" w:hAnsiTheme="minorHAnsi" w:cstheme="minorHAnsi"/>
          <w:sz w:val="24"/>
          <w:szCs w:val="24"/>
        </w:rPr>
        <w:t>ης Αναμόρφωσης του προϋπολογισμού  του έτους 2014</w:t>
      </w:r>
      <w:r w:rsidRPr="00F7014B">
        <w:rPr>
          <w:rFonts w:asciiTheme="minorHAnsi" w:hAnsiTheme="minorHAnsi" w:cstheme="minorHAnsi"/>
          <w:sz w:val="24"/>
          <w:szCs w:val="24"/>
        </w:rPr>
        <w:t>»</w:t>
      </w:r>
      <w:r w:rsidR="00DE594D" w:rsidRPr="00F7014B">
        <w:rPr>
          <w:rFonts w:asciiTheme="minorHAnsi" w:hAnsiTheme="minorHAnsi" w:cstheme="minorHAnsi"/>
          <w:sz w:val="24"/>
          <w:szCs w:val="24"/>
        </w:rPr>
        <w:t>.</w:t>
      </w:r>
    </w:p>
    <w:p w:rsidR="008E1EDE" w:rsidRPr="00F7014B" w:rsidRDefault="008E1EDE"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Σύμφωνα με το Υπουργείο Εσωτερικών η αναμόρφωση του προϋπολογισμού αποτελεί κατ’ </w:t>
      </w:r>
      <w:r w:rsidR="006D2EBE" w:rsidRPr="00F7014B">
        <w:rPr>
          <w:rFonts w:asciiTheme="minorHAnsi" w:hAnsiTheme="minorHAnsi" w:cstheme="minorHAnsi"/>
          <w:sz w:val="24"/>
          <w:szCs w:val="24"/>
        </w:rPr>
        <w:t>ουσία</w:t>
      </w:r>
      <w:r w:rsidR="00912C24" w:rsidRPr="00F7014B">
        <w:rPr>
          <w:rFonts w:asciiTheme="minorHAnsi" w:hAnsiTheme="minorHAnsi" w:cstheme="minorHAnsi"/>
          <w:sz w:val="24"/>
          <w:szCs w:val="24"/>
        </w:rPr>
        <w:t xml:space="preserve"> </w:t>
      </w:r>
      <w:r w:rsidRPr="00F7014B">
        <w:rPr>
          <w:rFonts w:asciiTheme="minorHAnsi" w:hAnsiTheme="minorHAnsi" w:cstheme="minorHAnsi"/>
          <w:sz w:val="24"/>
          <w:szCs w:val="24"/>
        </w:rPr>
        <w:t xml:space="preserve"> τροποποίηση της απόφασης με την οποία ψηφίστηκε αυτός. Άρα, για την έκδοση της τροποποιητικής του προϋπολογισμού απόφασης, απαιτείται η τήρηση του ίδιου τύπου και διαδικασίας, όπως ορίζεται στην κείμενη νομοθεσία (ΥΠ.ΕΣ. 28376/18.07.2012). Σύμφωνα πάντα με το ίδιο έγγραφο, με τις διατάξεις της παρ. 5 του άρθρου 23 του ν. 3536/2007 ο νομοθέτης θέλει να ρυθμίσει ένα επιμέρους ζήτημα με τρόπο διαφορετικό από τα εν γένει ισχύοντα- και δη την προθεσμία εντός της οποίας η εποπτεύουσα αρχή ολοκληρώνει τον έλεγχο νομιμότητας της απόφασης αναμόρφωσης.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Από το παραπάνω έγγραφο συνάγεται ότι εκτός από την εισήγηση των αρμόδιων υπηρεσιών απαιτείται και η τήρηση του ίδιου τύπου και διαδικασίας, όπως ορίζεται στην κείμενη νομοθεσία, για τον προϋπολογισμό. </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Με το ν. 4172/2013 ορίζεται ότι η εκτελεστική επιτροπή και η επιτροπή διαβούλευσης διατυπώνουν τη γνώμη τους μόνο κατά το στάδιο κατάρτισης του προϋπολογισμού και δεν απαιτείται εκ νέου γνωμοδότησή τους για όποιες αναμορφώσεις του ακολουθήσουν. (παρ 5 άρθρο 77 Ν. 4172/2013). Υπενθυμίζεται ότι η εκτελεστική επιτροπή, στο πλαίσιο των αρμοδιοτήτων της που αφορούν την προετοιμασία κατάρτισης του προϋπολογισμού, καταθέτει το προσχέδιο αυτού στην οικονομική επιτροπή. Για τη σύνταξη του προσχεδίου, η εκτελεστική επιτροπή συγκεντρώνει και αξιολογεί τυχόν προτάσεις των υπηρεσιών του δήμου, καθώς και της επιτροπής διαβούλευσης, εφόσον αυτή υπάρχει. Εάν το προσχέδιο δεν καταρτιστεί ή δεν υποβληθεί εμπρόθεσμα στην οικονομική επιτροπή, τότε καταρτίζεται από αυτήν. (παρ 5 άρθρο 77 Ν. 4172/2013).</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Συνεπώς, σύμφωνα με το έγγραφο του ΥΠ.ΕΣ. 28376/18.07.2012, εκτός των ρητά εξαιρουμένων διαδικασιών της διατύπωσης γνώμης από την εκτελεστική επιτροπή και την επιτροπή διαβούλευσης, με το ν. 4172/2013, οι υπόλοιπες ενέργειες αναμόρφωσης του προϋπολογισμού, ακολουθούν την τήρηση του ίδιου τύπου και διαδικασίας με τη ψήφιση του προϋπολογισμού.</w:t>
      </w: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Επειδή, έχουν προκύψει ανάγκες  οι οποίες δεν είχαν προβλεφθεί στον προϋπολογισμό του Δήμου  του τρέχοντος έτους παρίσταται ανάγκη αναμόρφωσης του προϋπολογισμού οικ. έτους 2014. </w:t>
      </w:r>
    </w:p>
    <w:p w:rsidR="00A01BDB" w:rsidRPr="00F7014B" w:rsidRDefault="00A01BDB" w:rsidP="00F7014B">
      <w:pPr>
        <w:spacing w:line="276" w:lineRule="auto"/>
        <w:jc w:val="both"/>
        <w:rPr>
          <w:rFonts w:asciiTheme="minorHAnsi" w:hAnsiTheme="minorHAnsi" w:cstheme="minorHAnsi"/>
          <w:sz w:val="24"/>
          <w:szCs w:val="24"/>
        </w:rPr>
      </w:pPr>
    </w:p>
    <w:p w:rsidR="00A01BDB" w:rsidRPr="00F7014B" w:rsidRDefault="00A01BDB" w:rsidP="00F7014B">
      <w:pPr>
        <w:spacing w:line="276" w:lineRule="auto"/>
        <w:jc w:val="both"/>
        <w:rPr>
          <w:rFonts w:asciiTheme="minorHAnsi" w:hAnsiTheme="minorHAnsi" w:cstheme="minorHAnsi"/>
          <w:sz w:val="24"/>
          <w:szCs w:val="24"/>
        </w:rPr>
      </w:pPr>
    </w:p>
    <w:p w:rsidR="008E1EDE" w:rsidRPr="00F7014B" w:rsidRDefault="008E1EDE" w:rsidP="00F7014B">
      <w:pPr>
        <w:spacing w:line="276" w:lineRule="auto"/>
        <w:jc w:val="both"/>
        <w:rPr>
          <w:rFonts w:asciiTheme="minorHAnsi" w:hAnsiTheme="minorHAnsi" w:cstheme="minorHAnsi"/>
          <w:sz w:val="24"/>
          <w:szCs w:val="24"/>
        </w:rPr>
      </w:pPr>
      <w:r w:rsidRPr="00F7014B">
        <w:rPr>
          <w:rFonts w:asciiTheme="minorHAnsi" w:hAnsiTheme="minorHAnsi" w:cstheme="minorHAnsi"/>
          <w:sz w:val="24"/>
          <w:szCs w:val="24"/>
        </w:rPr>
        <w:t xml:space="preserve">       </w:t>
      </w:r>
    </w:p>
    <w:p w:rsidR="008E1EDE" w:rsidRPr="00F7014B" w:rsidRDefault="008E1EDE" w:rsidP="00F7014B">
      <w:pPr>
        <w:spacing w:line="276" w:lineRule="auto"/>
        <w:jc w:val="both"/>
        <w:rPr>
          <w:rFonts w:asciiTheme="minorHAnsi" w:hAnsiTheme="minorHAnsi" w:cstheme="minorHAnsi"/>
          <w:sz w:val="24"/>
          <w:szCs w:val="24"/>
          <w:lang w:val="en-US"/>
        </w:rPr>
      </w:pPr>
      <w:r w:rsidRPr="00F7014B">
        <w:rPr>
          <w:rFonts w:asciiTheme="minorHAnsi" w:hAnsiTheme="minorHAnsi" w:cstheme="minorHAnsi"/>
          <w:sz w:val="24"/>
          <w:szCs w:val="24"/>
        </w:rPr>
        <w:t xml:space="preserve"> Λαμβάνοντας υπόψη </w:t>
      </w:r>
      <w:r w:rsidRPr="00F7014B">
        <w:rPr>
          <w:rFonts w:asciiTheme="minorHAnsi" w:hAnsiTheme="minorHAnsi" w:cstheme="minorHAnsi"/>
          <w:sz w:val="24"/>
          <w:szCs w:val="24"/>
          <w:lang w:val="en-US"/>
        </w:rPr>
        <w:t>:</w:t>
      </w:r>
    </w:p>
    <w:p w:rsidR="008E1EDE" w:rsidRPr="00F7014B" w:rsidRDefault="008E1EDE" w:rsidP="00F7014B">
      <w:pPr>
        <w:numPr>
          <w:ilvl w:val="0"/>
          <w:numId w:val="13"/>
        </w:numPr>
        <w:tabs>
          <w:tab w:val="clear" w:pos="870"/>
        </w:tabs>
        <w:spacing w:line="276" w:lineRule="auto"/>
        <w:ind w:left="284" w:hanging="142"/>
        <w:jc w:val="both"/>
        <w:rPr>
          <w:rFonts w:asciiTheme="minorHAnsi" w:hAnsiTheme="minorHAnsi" w:cstheme="minorHAnsi"/>
          <w:sz w:val="24"/>
          <w:szCs w:val="24"/>
        </w:rPr>
      </w:pPr>
      <w:r w:rsidRPr="00F7014B">
        <w:rPr>
          <w:rFonts w:asciiTheme="minorHAnsi" w:hAnsiTheme="minorHAnsi" w:cstheme="minorHAnsi"/>
          <w:sz w:val="24"/>
          <w:szCs w:val="24"/>
        </w:rPr>
        <w:t>Τις διατάξεις των άρθρων 72 και 75 του Ν. 3852/2010</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Την παρ 5 άρθρο 23 Ν. 3536/07</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8 του Β.Δ. 17-5/15-6-59 (ΦΕΚ 114/59 τεύχος Α')</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εγγ. ΥΠ.ΕΣ. 28376/18.07.2012</w:t>
      </w:r>
    </w:p>
    <w:p w:rsidR="008E1EDE" w:rsidRPr="00F7014B" w:rsidRDefault="008E1EDE" w:rsidP="00F7014B">
      <w:pPr>
        <w:numPr>
          <w:ilvl w:val="0"/>
          <w:numId w:val="14"/>
        </w:numPr>
        <w:spacing w:line="276" w:lineRule="auto"/>
        <w:ind w:left="425" w:hanging="283"/>
        <w:jc w:val="both"/>
        <w:rPr>
          <w:rFonts w:asciiTheme="minorHAnsi" w:hAnsiTheme="minorHAnsi" w:cstheme="minorHAnsi"/>
          <w:sz w:val="24"/>
          <w:szCs w:val="24"/>
        </w:rPr>
      </w:pPr>
      <w:r w:rsidRPr="00F7014B">
        <w:rPr>
          <w:rFonts w:asciiTheme="minorHAnsi" w:hAnsiTheme="minorHAnsi" w:cstheme="minorHAnsi"/>
          <w:sz w:val="24"/>
          <w:szCs w:val="24"/>
        </w:rPr>
        <w:t>Το άρθρο 77 Ν. 4172/2013</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Τον προϋπολογισμό του Δήμου, έτους 2014, ο οποίος ψηφίστηκε με την  αριθμ. 370/2013 απόφαση  του Δημοτικού Συμβουλίου και εγκρίθηκε με την αριθ.68722/55885/21.1.2014 απόφαση του Γενικού Γραμματέα Αποκεντρωμένης Διοίκησης Αττικής.</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αριθ.8093/6770+ 6605/5518/14.2.2014 έγγραφο της Αποκεντρωμένης Διοίκησης Αττικής.</w:t>
      </w:r>
    </w:p>
    <w:p w:rsidR="008E1EDE" w:rsidRPr="00F7014B" w:rsidRDefault="008E1EDE" w:rsidP="00F7014B">
      <w:pPr>
        <w:numPr>
          <w:ilvl w:val="0"/>
          <w:numId w:val="14"/>
        </w:numPr>
        <w:spacing w:line="276" w:lineRule="auto"/>
        <w:ind w:hanging="218"/>
        <w:jc w:val="both"/>
        <w:rPr>
          <w:rFonts w:asciiTheme="minorHAnsi" w:hAnsiTheme="minorHAnsi" w:cstheme="minorHAnsi"/>
          <w:sz w:val="24"/>
          <w:szCs w:val="24"/>
        </w:rPr>
      </w:pPr>
      <w:r w:rsidRPr="00F7014B">
        <w:rPr>
          <w:rFonts w:asciiTheme="minorHAnsi" w:hAnsiTheme="minorHAnsi" w:cstheme="minorHAnsi"/>
          <w:sz w:val="24"/>
          <w:szCs w:val="24"/>
        </w:rPr>
        <w:t>Το αριθ.9678/8134/25.2.2014 έγγραφο της Αποκεντρωμένης Διοίκησης Αττικής.</w:t>
      </w:r>
    </w:p>
    <w:p w:rsidR="009F7225" w:rsidRPr="009F7225" w:rsidRDefault="009F7225" w:rsidP="009F7225">
      <w:pPr>
        <w:spacing w:line="276" w:lineRule="auto"/>
        <w:ind w:left="426" w:hanging="284"/>
        <w:jc w:val="both"/>
        <w:rPr>
          <w:rFonts w:asciiTheme="minorHAnsi" w:hAnsiTheme="minorHAnsi" w:cstheme="minorHAnsi"/>
          <w:sz w:val="24"/>
          <w:szCs w:val="24"/>
        </w:rPr>
      </w:pPr>
      <w:r w:rsidRPr="009F7225">
        <w:rPr>
          <w:rFonts w:asciiTheme="minorHAnsi" w:hAnsiTheme="minorHAnsi" w:cstheme="minorHAnsi"/>
          <w:sz w:val="24"/>
          <w:szCs w:val="24"/>
        </w:rPr>
        <w:t>•</w:t>
      </w:r>
      <w:r w:rsidRPr="009F7225">
        <w:rPr>
          <w:rFonts w:asciiTheme="minorHAnsi" w:hAnsiTheme="minorHAnsi" w:cstheme="minorHAnsi"/>
          <w:sz w:val="24"/>
          <w:szCs w:val="24"/>
        </w:rPr>
        <w:tab/>
        <w:t xml:space="preserve">Την </w:t>
      </w:r>
      <w:r>
        <w:rPr>
          <w:rFonts w:asciiTheme="minorHAnsi" w:hAnsiTheme="minorHAnsi" w:cstheme="minorHAnsi"/>
          <w:sz w:val="24"/>
          <w:szCs w:val="24"/>
        </w:rPr>
        <w:t>…..</w:t>
      </w:r>
      <w:r w:rsidRPr="009F7225">
        <w:rPr>
          <w:rFonts w:asciiTheme="minorHAnsi" w:hAnsiTheme="minorHAnsi" w:cstheme="minorHAnsi"/>
          <w:sz w:val="24"/>
          <w:szCs w:val="24"/>
        </w:rPr>
        <w:t>/14 απόφαση της Οικονομικής Επιτροπής</w:t>
      </w:r>
    </w:p>
    <w:p w:rsidR="009F7225" w:rsidRPr="009F7225" w:rsidRDefault="009F7225" w:rsidP="009F7225">
      <w:pPr>
        <w:spacing w:line="276" w:lineRule="auto"/>
        <w:jc w:val="both"/>
        <w:rPr>
          <w:rFonts w:asciiTheme="minorHAnsi" w:hAnsiTheme="minorHAnsi" w:cstheme="minorHAnsi"/>
          <w:sz w:val="24"/>
          <w:szCs w:val="24"/>
        </w:rPr>
      </w:pPr>
    </w:p>
    <w:p w:rsidR="006903CC" w:rsidRPr="00F7014B" w:rsidRDefault="009F7225" w:rsidP="009F7225">
      <w:pPr>
        <w:spacing w:line="276" w:lineRule="auto"/>
        <w:jc w:val="both"/>
        <w:rPr>
          <w:rFonts w:asciiTheme="minorHAnsi" w:hAnsiTheme="minorHAnsi" w:cstheme="minorHAnsi"/>
          <w:sz w:val="24"/>
          <w:szCs w:val="24"/>
        </w:rPr>
      </w:pPr>
      <w:r w:rsidRPr="009F7225">
        <w:rPr>
          <w:rFonts w:asciiTheme="minorHAnsi" w:hAnsiTheme="minorHAnsi" w:cstheme="minorHAnsi"/>
          <w:sz w:val="24"/>
          <w:szCs w:val="24"/>
        </w:rPr>
        <w:t>προτείνεται η έγκριση της 13ης αναμόρφωσης του προϋπολογισμού και του τεχνικού προγράμματος από τ</w:t>
      </w:r>
      <w:r>
        <w:rPr>
          <w:rFonts w:asciiTheme="minorHAnsi" w:hAnsiTheme="minorHAnsi" w:cstheme="minorHAnsi"/>
          <w:sz w:val="24"/>
          <w:szCs w:val="24"/>
        </w:rPr>
        <w:t>ο</w:t>
      </w:r>
      <w:r w:rsidRPr="009F7225">
        <w:rPr>
          <w:rFonts w:asciiTheme="minorHAnsi" w:hAnsiTheme="minorHAnsi" w:cstheme="minorHAnsi"/>
          <w:sz w:val="24"/>
          <w:szCs w:val="24"/>
        </w:rPr>
        <w:t xml:space="preserve"> </w:t>
      </w:r>
      <w:r>
        <w:rPr>
          <w:rFonts w:asciiTheme="minorHAnsi" w:hAnsiTheme="minorHAnsi" w:cstheme="minorHAnsi"/>
          <w:sz w:val="24"/>
          <w:szCs w:val="24"/>
        </w:rPr>
        <w:t xml:space="preserve">Δημοτικό Συμβούλιο </w:t>
      </w:r>
      <w:r w:rsidRPr="00F7014B">
        <w:rPr>
          <w:rFonts w:asciiTheme="minorHAnsi" w:hAnsiTheme="minorHAnsi" w:cstheme="minorHAnsi"/>
          <w:sz w:val="24"/>
          <w:szCs w:val="24"/>
        </w:rPr>
        <w:t>ως εξής:</w:t>
      </w:r>
      <w:r w:rsidR="006903CC" w:rsidRPr="00F7014B">
        <w:rPr>
          <w:rFonts w:asciiTheme="minorHAnsi" w:hAnsiTheme="minorHAnsi" w:cstheme="minorHAnsi"/>
          <w:sz w:val="24"/>
          <w:szCs w:val="24"/>
        </w:rPr>
        <w:t xml:space="preserve">. </w:t>
      </w:r>
    </w:p>
    <w:p w:rsidR="008F0271" w:rsidRPr="008F0271" w:rsidRDefault="008F0271" w:rsidP="00F7014B">
      <w:pPr>
        <w:pStyle w:val="ad"/>
        <w:spacing w:line="276" w:lineRule="auto"/>
        <w:ind w:left="357"/>
        <w:jc w:val="both"/>
        <w:rPr>
          <w:rFonts w:asciiTheme="minorHAnsi" w:hAnsiTheme="minorHAnsi" w:cstheme="minorHAnsi"/>
          <w:sz w:val="24"/>
          <w:szCs w:val="24"/>
        </w:rPr>
      </w:pPr>
    </w:p>
    <w:p w:rsidR="003C3F74" w:rsidRDefault="003C3F74" w:rsidP="00DB6EC5">
      <w:pPr>
        <w:jc w:val="both"/>
        <w:rPr>
          <w:rFonts w:asciiTheme="minorHAnsi" w:hAnsiTheme="minorHAnsi" w:cstheme="minorHAnsi"/>
          <w:sz w:val="24"/>
          <w:szCs w:val="24"/>
        </w:rPr>
      </w:pPr>
      <w:r>
        <w:rPr>
          <w:rFonts w:asciiTheme="minorHAnsi" w:hAnsiTheme="minorHAnsi" w:cstheme="minorHAnsi"/>
          <w:sz w:val="24"/>
          <w:szCs w:val="24"/>
        </w:rPr>
        <w:t xml:space="preserve">Με την </w:t>
      </w:r>
      <w:r w:rsidRPr="003C3F74">
        <w:rPr>
          <w:rFonts w:asciiTheme="minorHAnsi" w:hAnsiTheme="minorHAnsi" w:cstheme="minorHAnsi"/>
          <w:sz w:val="24"/>
          <w:szCs w:val="24"/>
        </w:rPr>
        <w:t xml:space="preserve">1322/16-1-2014 απόφαση του Υπουργού Εσωτερικών  (ΑΔΑ: ΒΙΨ4Ν-Ψ1Θ) </w:t>
      </w:r>
      <w:r>
        <w:rPr>
          <w:rFonts w:asciiTheme="minorHAnsi" w:hAnsiTheme="minorHAnsi" w:cstheme="minorHAnsi"/>
          <w:sz w:val="24"/>
          <w:szCs w:val="24"/>
        </w:rPr>
        <w:t>προβλέπεται επιχορήγηση στο Δήμο, που</w:t>
      </w:r>
      <w:r w:rsidRPr="003C3F74">
        <w:rPr>
          <w:rFonts w:asciiTheme="minorHAnsi" w:hAnsiTheme="minorHAnsi" w:cstheme="minorHAnsi"/>
          <w:sz w:val="24"/>
          <w:szCs w:val="24"/>
        </w:rPr>
        <w:t xml:space="preserve"> αφορά την θέρμανση των σχολικών </w:t>
      </w:r>
      <w:r>
        <w:rPr>
          <w:rFonts w:asciiTheme="minorHAnsi" w:hAnsiTheme="minorHAnsi" w:cstheme="minorHAnsi"/>
          <w:sz w:val="24"/>
          <w:szCs w:val="24"/>
        </w:rPr>
        <w:t xml:space="preserve">του </w:t>
      </w:r>
      <w:r w:rsidRPr="003C3F74">
        <w:rPr>
          <w:rFonts w:asciiTheme="minorHAnsi" w:hAnsiTheme="minorHAnsi" w:cstheme="minorHAnsi"/>
          <w:sz w:val="24"/>
          <w:szCs w:val="24"/>
        </w:rPr>
        <w:t>μονάδων</w:t>
      </w:r>
      <w:r>
        <w:rPr>
          <w:rFonts w:asciiTheme="minorHAnsi" w:hAnsiTheme="minorHAnsi" w:cstheme="minorHAnsi"/>
          <w:sz w:val="24"/>
          <w:szCs w:val="24"/>
        </w:rPr>
        <w:t xml:space="preserve">. </w:t>
      </w:r>
      <w:r w:rsidRPr="003C3F74">
        <w:rPr>
          <w:rFonts w:asciiTheme="minorHAnsi" w:hAnsiTheme="minorHAnsi" w:cstheme="minorHAnsi"/>
          <w:sz w:val="24"/>
          <w:szCs w:val="24"/>
        </w:rPr>
        <w:t xml:space="preserve"> </w:t>
      </w:r>
      <w:r>
        <w:rPr>
          <w:rFonts w:asciiTheme="minorHAnsi" w:hAnsiTheme="minorHAnsi" w:cstheme="minorHAnsi"/>
          <w:sz w:val="24"/>
          <w:szCs w:val="24"/>
        </w:rPr>
        <w:t>Εξαιτίας αυτού είναι αναγκαίο</w:t>
      </w:r>
      <w:r w:rsidRPr="003C3F74">
        <w:rPr>
          <w:rFonts w:asciiTheme="minorHAnsi" w:hAnsiTheme="minorHAnsi" w:cstheme="minorHAnsi"/>
          <w:sz w:val="24"/>
          <w:szCs w:val="24"/>
        </w:rPr>
        <w:t xml:space="preserve"> να τακτοποιηθεί το ύψος της τελικής επιχορήγησης των σχολικών επιτροπών για το 2014</w:t>
      </w:r>
      <w:r>
        <w:rPr>
          <w:rFonts w:asciiTheme="minorHAnsi" w:hAnsiTheme="minorHAnsi" w:cstheme="minorHAnsi"/>
          <w:sz w:val="24"/>
          <w:szCs w:val="24"/>
        </w:rPr>
        <w:t xml:space="preserve"> αναμορφώνοντας του σχετικούς κωδικούς εσόδων - εξόδων.</w:t>
      </w:r>
    </w:p>
    <w:p w:rsidR="003C3F74" w:rsidRDefault="003C3F74" w:rsidP="00DB6EC5">
      <w:pPr>
        <w:jc w:val="both"/>
        <w:rPr>
          <w:rFonts w:asciiTheme="minorHAnsi" w:hAnsiTheme="minorHAnsi" w:cstheme="minorHAnsi"/>
          <w:sz w:val="24"/>
          <w:szCs w:val="24"/>
        </w:rPr>
      </w:pPr>
      <w:r>
        <w:rPr>
          <w:rFonts w:asciiTheme="minorHAnsi" w:hAnsiTheme="minorHAnsi" w:cstheme="minorHAnsi"/>
          <w:sz w:val="24"/>
          <w:szCs w:val="24"/>
        </w:rPr>
        <w:t>Σ</w:t>
      </w:r>
      <w:r w:rsidRPr="003C3F74">
        <w:rPr>
          <w:rFonts w:asciiTheme="minorHAnsi" w:hAnsiTheme="minorHAnsi" w:cstheme="minorHAnsi"/>
          <w:sz w:val="24"/>
          <w:szCs w:val="24"/>
        </w:rPr>
        <w:t>ύμφωνα με την αρ. πρωτ. 42926/6-11-14 απόφαση του Υπουργού Εσωτερικών (ΑΔΑ : 7ΘΤΡΝ-ΑΑ7)</w:t>
      </w:r>
      <w:r>
        <w:rPr>
          <w:rFonts w:asciiTheme="minorHAnsi" w:hAnsiTheme="minorHAnsi" w:cstheme="minorHAnsi"/>
          <w:sz w:val="24"/>
          <w:szCs w:val="24"/>
        </w:rPr>
        <w:t xml:space="preserve"> κατανέμεται υπέρ Δήμου επιχορήγηση που αφορά </w:t>
      </w:r>
      <w:r w:rsidRPr="003C3F74">
        <w:rPr>
          <w:rFonts w:asciiTheme="minorHAnsi" w:hAnsiTheme="minorHAnsi" w:cstheme="minorHAnsi"/>
          <w:sz w:val="24"/>
          <w:szCs w:val="24"/>
        </w:rPr>
        <w:t xml:space="preserve">τον </w:t>
      </w:r>
      <w:r>
        <w:rPr>
          <w:rFonts w:asciiTheme="minorHAnsi" w:hAnsiTheme="minorHAnsi" w:cstheme="minorHAnsi"/>
          <w:sz w:val="24"/>
          <w:szCs w:val="24"/>
        </w:rPr>
        <w:t>κ</w:t>
      </w:r>
      <w:r w:rsidRPr="003C3F74">
        <w:rPr>
          <w:rFonts w:asciiTheme="minorHAnsi" w:hAnsiTheme="minorHAnsi" w:cstheme="minorHAnsi"/>
          <w:sz w:val="24"/>
          <w:szCs w:val="24"/>
        </w:rPr>
        <w:t xml:space="preserve">αθαρισμό και συντήρηση φρεατίων υδροσυλλογής του δικτύου </w:t>
      </w:r>
      <w:r w:rsidR="00220029" w:rsidRPr="003C3F74">
        <w:rPr>
          <w:rFonts w:asciiTheme="minorHAnsi" w:hAnsiTheme="minorHAnsi" w:cstheme="minorHAnsi"/>
          <w:sz w:val="24"/>
          <w:szCs w:val="24"/>
        </w:rPr>
        <w:t>όμβριων</w:t>
      </w:r>
      <w:r w:rsidRPr="003C3F74">
        <w:rPr>
          <w:rFonts w:asciiTheme="minorHAnsi" w:hAnsiTheme="minorHAnsi" w:cstheme="minorHAnsi"/>
          <w:sz w:val="24"/>
          <w:szCs w:val="24"/>
        </w:rPr>
        <w:t xml:space="preserve"> υδάτων που βρίσκεται στα όρια περιοχής ευθύνης της ΕΥΔΑΠ ΑΕ</w:t>
      </w:r>
      <w:r>
        <w:rPr>
          <w:rFonts w:asciiTheme="minorHAnsi" w:hAnsiTheme="minorHAnsi" w:cstheme="minorHAnsi"/>
          <w:sz w:val="24"/>
          <w:szCs w:val="24"/>
        </w:rPr>
        <w:t xml:space="preserve"> στο Δήμο μας</w:t>
      </w:r>
      <w:r w:rsidRPr="003C3F74">
        <w:rPr>
          <w:rFonts w:asciiTheme="minorHAnsi" w:hAnsiTheme="minorHAnsi" w:cstheme="minorHAnsi"/>
          <w:sz w:val="24"/>
          <w:szCs w:val="24"/>
        </w:rPr>
        <w:t xml:space="preserve">. </w:t>
      </w:r>
      <w:r>
        <w:rPr>
          <w:rFonts w:asciiTheme="minorHAnsi" w:hAnsiTheme="minorHAnsi" w:cstheme="minorHAnsi"/>
          <w:sz w:val="24"/>
          <w:szCs w:val="24"/>
        </w:rPr>
        <w:t>Για το λόγο αυτό προβλέπονται ι</w:t>
      </w:r>
      <w:r w:rsidRPr="003C3F74">
        <w:rPr>
          <w:rFonts w:asciiTheme="minorHAnsi" w:hAnsiTheme="minorHAnsi" w:cstheme="minorHAnsi"/>
          <w:sz w:val="24"/>
          <w:szCs w:val="24"/>
        </w:rPr>
        <w:t>σόποσο</w:t>
      </w:r>
      <w:r>
        <w:rPr>
          <w:rFonts w:asciiTheme="minorHAnsi" w:hAnsiTheme="minorHAnsi" w:cstheme="minorHAnsi"/>
          <w:sz w:val="24"/>
          <w:szCs w:val="24"/>
        </w:rPr>
        <w:t>ι</w:t>
      </w:r>
      <w:r w:rsidRPr="003C3F74">
        <w:rPr>
          <w:rFonts w:asciiTheme="minorHAnsi" w:hAnsiTheme="minorHAnsi" w:cstheme="minorHAnsi"/>
          <w:sz w:val="24"/>
          <w:szCs w:val="24"/>
        </w:rPr>
        <w:t xml:space="preserve"> κωδικ</w:t>
      </w:r>
      <w:r>
        <w:rPr>
          <w:rFonts w:asciiTheme="minorHAnsi" w:hAnsiTheme="minorHAnsi" w:cstheme="minorHAnsi"/>
          <w:sz w:val="24"/>
          <w:szCs w:val="24"/>
        </w:rPr>
        <w:t>οί</w:t>
      </w:r>
      <w:r w:rsidRPr="003C3F74">
        <w:rPr>
          <w:rFonts w:asciiTheme="minorHAnsi" w:hAnsiTheme="minorHAnsi" w:cstheme="minorHAnsi"/>
          <w:sz w:val="24"/>
          <w:szCs w:val="24"/>
        </w:rPr>
        <w:t xml:space="preserve"> </w:t>
      </w:r>
      <w:r>
        <w:rPr>
          <w:rFonts w:asciiTheme="minorHAnsi" w:hAnsiTheme="minorHAnsi" w:cstheme="minorHAnsi"/>
          <w:sz w:val="24"/>
          <w:szCs w:val="24"/>
        </w:rPr>
        <w:t>τόσο</w:t>
      </w:r>
      <w:r w:rsidRPr="003C3F74">
        <w:rPr>
          <w:rFonts w:asciiTheme="minorHAnsi" w:hAnsiTheme="minorHAnsi" w:cstheme="minorHAnsi"/>
          <w:sz w:val="24"/>
          <w:szCs w:val="24"/>
        </w:rPr>
        <w:t xml:space="preserve"> στο σκέλος των ε</w:t>
      </w:r>
      <w:r>
        <w:rPr>
          <w:rFonts w:asciiTheme="minorHAnsi" w:hAnsiTheme="minorHAnsi" w:cstheme="minorHAnsi"/>
          <w:sz w:val="24"/>
          <w:szCs w:val="24"/>
        </w:rPr>
        <w:t>σ</w:t>
      </w:r>
      <w:r w:rsidRPr="003C3F74">
        <w:rPr>
          <w:rFonts w:asciiTheme="minorHAnsi" w:hAnsiTheme="minorHAnsi" w:cstheme="minorHAnsi"/>
          <w:sz w:val="24"/>
          <w:szCs w:val="24"/>
        </w:rPr>
        <w:t>όδων</w:t>
      </w:r>
      <w:r>
        <w:rPr>
          <w:rFonts w:asciiTheme="minorHAnsi" w:hAnsiTheme="minorHAnsi" w:cstheme="minorHAnsi"/>
          <w:sz w:val="24"/>
          <w:szCs w:val="24"/>
        </w:rPr>
        <w:t xml:space="preserve"> όσο και </w:t>
      </w:r>
      <w:r w:rsidRPr="003C3F74">
        <w:rPr>
          <w:rFonts w:asciiTheme="minorHAnsi" w:hAnsiTheme="minorHAnsi" w:cstheme="minorHAnsi"/>
          <w:sz w:val="24"/>
          <w:szCs w:val="24"/>
        </w:rPr>
        <w:t>στο σκέλος των εξόδων</w:t>
      </w:r>
      <w:r>
        <w:rPr>
          <w:rFonts w:asciiTheme="minorHAnsi" w:hAnsiTheme="minorHAnsi" w:cstheme="minorHAnsi"/>
          <w:sz w:val="24"/>
          <w:szCs w:val="24"/>
        </w:rPr>
        <w:t>.</w:t>
      </w:r>
    </w:p>
    <w:p w:rsidR="003C3F74" w:rsidRDefault="003C3F74" w:rsidP="00DB6EC5">
      <w:pPr>
        <w:jc w:val="both"/>
        <w:rPr>
          <w:rFonts w:asciiTheme="minorHAnsi" w:hAnsiTheme="minorHAnsi" w:cstheme="minorHAnsi"/>
          <w:sz w:val="24"/>
          <w:szCs w:val="24"/>
        </w:rPr>
      </w:pPr>
      <w:r>
        <w:rPr>
          <w:rFonts w:asciiTheme="minorHAnsi" w:hAnsiTheme="minorHAnsi" w:cstheme="minorHAnsi"/>
          <w:sz w:val="24"/>
          <w:szCs w:val="24"/>
        </w:rPr>
        <w:t xml:space="preserve">Προκειμένου να τακτοποιηθεί λογιστικά η παρακράτηση των </w:t>
      </w:r>
      <w:r w:rsidR="00CA41C0">
        <w:rPr>
          <w:rFonts w:asciiTheme="minorHAnsi" w:hAnsiTheme="minorHAnsi" w:cstheme="minorHAnsi"/>
          <w:sz w:val="24"/>
          <w:szCs w:val="24"/>
        </w:rPr>
        <w:t>τοκοχρεολυσίων</w:t>
      </w:r>
      <w:r>
        <w:rPr>
          <w:rFonts w:asciiTheme="minorHAnsi" w:hAnsiTheme="minorHAnsi" w:cstheme="minorHAnsi"/>
          <w:sz w:val="24"/>
          <w:szCs w:val="24"/>
        </w:rPr>
        <w:t xml:space="preserve"> </w:t>
      </w:r>
      <w:r w:rsidR="00CA41C0">
        <w:rPr>
          <w:rFonts w:asciiTheme="minorHAnsi" w:hAnsiTheme="minorHAnsi" w:cstheme="minorHAnsi"/>
          <w:sz w:val="24"/>
          <w:szCs w:val="24"/>
        </w:rPr>
        <w:t xml:space="preserve">από το ΤΠΔ πρέπει να μεταφερθεί αντίστοιχα ποσά από τους Κ.Α. των τόκων σε Κ.Α. των χρεολυσίων χωρίς να μεταβάλλεται το τελικό τους ύψος όπως αυτό είχε προβλεφθεί αρχικά . </w:t>
      </w:r>
    </w:p>
    <w:p w:rsidR="00DB6EC5" w:rsidRPr="00DB6EC5" w:rsidRDefault="00561CD2" w:rsidP="00DB6EC5">
      <w:pPr>
        <w:jc w:val="both"/>
        <w:rPr>
          <w:rFonts w:asciiTheme="minorHAnsi" w:hAnsiTheme="minorHAnsi" w:cstheme="minorHAnsi"/>
          <w:bCs/>
          <w:sz w:val="24"/>
          <w:szCs w:val="24"/>
        </w:rPr>
      </w:pPr>
      <w:r>
        <w:rPr>
          <w:rFonts w:asciiTheme="minorHAnsi" w:hAnsiTheme="minorHAnsi" w:cstheme="minorHAnsi"/>
          <w:sz w:val="24"/>
          <w:szCs w:val="24"/>
        </w:rPr>
        <w:t>Γ</w:t>
      </w:r>
      <w:r w:rsidR="00C2637A" w:rsidRPr="00C2637A">
        <w:rPr>
          <w:rFonts w:asciiTheme="minorHAnsi" w:hAnsiTheme="minorHAnsi" w:cstheme="minorHAnsi"/>
          <w:sz w:val="24"/>
          <w:szCs w:val="24"/>
        </w:rPr>
        <w:t xml:space="preserve">ια να </w:t>
      </w:r>
      <w:r w:rsidR="00DB6EC5" w:rsidRPr="00DB6EC5">
        <w:rPr>
          <w:rFonts w:asciiTheme="minorHAnsi" w:hAnsiTheme="minorHAnsi" w:cstheme="minorHAnsi"/>
          <w:bCs/>
          <w:sz w:val="24"/>
          <w:szCs w:val="24"/>
        </w:rPr>
        <w:t xml:space="preserve">αντιμετωπιστούν δαπάνες που προκύπτουν από τις σχετικές εισηγήσεις των υπηρεσιών, είναι αναγκαία η </w:t>
      </w:r>
      <w:r>
        <w:rPr>
          <w:rFonts w:asciiTheme="minorHAnsi" w:hAnsiTheme="minorHAnsi" w:cstheme="minorHAnsi"/>
          <w:bCs/>
          <w:sz w:val="24"/>
          <w:szCs w:val="24"/>
        </w:rPr>
        <w:t>αναμόρφωση  του  προϋπολογισμού στο σκέλος των εξόδων</w:t>
      </w:r>
      <w:r w:rsidR="00DB6EC5" w:rsidRPr="00DB6EC5">
        <w:rPr>
          <w:rFonts w:asciiTheme="minorHAnsi" w:hAnsiTheme="minorHAnsi" w:cstheme="minorHAnsi"/>
          <w:bCs/>
          <w:sz w:val="24"/>
          <w:szCs w:val="24"/>
        </w:rPr>
        <w:t>.</w:t>
      </w:r>
    </w:p>
    <w:p w:rsidR="00031119" w:rsidRPr="00DB6EC5" w:rsidRDefault="00DB6EC5" w:rsidP="00DB6EC5">
      <w:pPr>
        <w:jc w:val="both"/>
        <w:rPr>
          <w:rFonts w:asciiTheme="minorHAnsi" w:hAnsiTheme="minorHAnsi" w:cstheme="minorHAnsi"/>
          <w:bCs/>
          <w:sz w:val="24"/>
          <w:szCs w:val="24"/>
        </w:rPr>
      </w:pPr>
      <w:r w:rsidRPr="00DB6EC5">
        <w:rPr>
          <w:rFonts w:asciiTheme="minorHAnsi" w:hAnsiTheme="minorHAnsi" w:cstheme="minorHAnsi"/>
          <w:bCs/>
          <w:sz w:val="24"/>
          <w:szCs w:val="24"/>
        </w:rPr>
        <w:t>Αναλυτικά οι λόγοι που δικαιολογούν την αναμόρφωση του προϋπολογισμού έτους 201</w:t>
      </w:r>
      <w:r w:rsidR="00C2637A">
        <w:rPr>
          <w:rFonts w:asciiTheme="minorHAnsi" w:hAnsiTheme="minorHAnsi" w:cstheme="minorHAnsi"/>
          <w:bCs/>
          <w:sz w:val="24"/>
          <w:szCs w:val="24"/>
        </w:rPr>
        <w:t>4</w:t>
      </w:r>
      <w:r w:rsidRPr="00DB6EC5">
        <w:rPr>
          <w:rFonts w:asciiTheme="minorHAnsi" w:hAnsiTheme="minorHAnsi" w:cstheme="minorHAnsi"/>
          <w:bCs/>
          <w:sz w:val="24"/>
          <w:szCs w:val="24"/>
        </w:rPr>
        <w:t xml:space="preserve"> </w:t>
      </w:r>
      <w:r w:rsidR="00CA41C0">
        <w:rPr>
          <w:rFonts w:asciiTheme="minorHAnsi" w:hAnsiTheme="minorHAnsi" w:cstheme="minorHAnsi"/>
          <w:bCs/>
          <w:sz w:val="24"/>
          <w:szCs w:val="24"/>
        </w:rPr>
        <w:t xml:space="preserve">και του τεχνικού προγράμματος </w:t>
      </w:r>
      <w:r w:rsidRPr="00DB6EC5">
        <w:rPr>
          <w:rFonts w:asciiTheme="minorHAnsi" w:hAnsiTheme="minorHAnsi" w:cstheme="minorHAnsi"/>
          <w:bCs/>
          <w:sz w:val="24"/>
          <w:szCs w:val="24"/>
        </w:rPr>
        <w:t>αναφέρονται κατωτέρω, βάσει των οποίων το προτεινόμενο σχέδιο αναμόρφωσης έχει ως εξής:</w:t>
      </w:r>
    </w:p>
    <w:p w:rsidR="00146AF6" w:rsidRDefault="00146AF6"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p w:rsidR="00F96E0A" w:rsidRDefault="00F96E0A" w:rsidP="00416374">
      <w:pPr>
        <w:spacing w:line="360" w:lineRule="auto"/>
        <w:jc w:val="both"/>
        <w:rPr>
          <w:rFonts w:asciiTheme="minorHAnsi" w:hAnsiTheme="minorHAnsi" w:cstheme="minorHAnsi"/>
          <w:sz w:val="24"/>
          <w:szCs w:val="24"/>
        </w:rPr>
      </w:pPr>
    </w:p>
    <w:tbl>
      <w:tblPr>
        <w:tblW w:w="9430" w:type="dxa"/>
        <w:tblInd w:w="108" w:type="dxa"/>
        <w:tblLook w:val="04A0"/>
      </w:tblPr>
      <w:tblGrid>
        <w:gridCol w:w="1128"/>
        <w:gridCol w:w="2133"/>
        <w:gridCol w:w="1476"/>
        <w:gridCol w:w="1356"/>
        <w:gridCol w:w="1436"/>
        <w:gridCol w:w="1901"/>
      </w:tblGrid>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u w:val="single"/>
              </w:rPr>
            </w:pPr>
            <w:r w:rsidRPr="002C7A46">
              <w:rPr>
                <w:rFonts w:ascii="Calibri" w:hAnsi="Calibri" w:cs="Calibri"/>
                <w:b/>
                <w:bCs/>
                <w:u w:val="single"/>
              </w:rPr>
              <w:lastRenderedPageBreak/>
              <w:t>1. ΣΚΕΛΟΣ ΕΣΟΔΩΝ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r w:rsidRPr="002C7A46">
              <w:rPr>
                <w:rFonts w:ascii="Calibri" w:hAnsi="Calibri" w:cs="Calibri"/>
              </w:rPr>
              <w:t>-</w:t>
            </w: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r w:rsidRPr="002C7A46">
              <w:rPr>
                <w:rFonts w:ascii="Calibri" w:hAnsi="Calibri" w:cs="Calibri"/>
                <w:b/>
                <w:bCs/>
                <w:color w:val="000000"/>
              </w:rPr>
              <w:t>Α) Ενίσχυση άρθρων εσόδων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Κ.Α.</w:t>
            </w:r>
          </w:p>
        </w:tc>
        <w:tc>
          <w:tcPr>
            <w:tcW w:w="2133"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 xml:space="preserve">Ποσό </w:t>
            </w:r>
          </w:p>
        </w:tc>
        <w:tc>
          <w:tcPr>
            <w:tcW w:w="143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ΤΕΛΙΚΗ ΠΙΣΤΩΣΗ</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ΑΙΤΙΟΛΟΓΙΑ</w:t>
            </w:r>
          </w:p>
        </w:tc>
      </w:tr>
      <w:tr w:rsidR="002C7A46" w:rsidRPr="002C7A46" w:rsidTr="00357BFB">
        <w:trPr>
          <w:trHeight w:val="238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0614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ΚΑΠ για την κάλυψη των λειτουργικών αναγκών των σχολείων α/βάθμιας και β/βάθμιας εκπαίδευσης (άρθρο 55 Ν 1946/91)</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280.913,56</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24.539,04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305.452,60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εσόδων σύμφωνα με την 1322/16-1-2014 απόφαση του Υπουργού Εσωτερικών  (ΑΔΑ: ΒΙΨ4Ν-Ψ1Θ) που αφορά την θέρμανση των σχολικών μονάδων του Δήμου προκειμένου να τακτοποιηθεί στο ύψος της τελικής επιχορήγησης των σχολικών επιτροπών για το 2014</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Σύνολο ενίσχυσης εσόδων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280.913,56</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24.539,04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305.452,60</w:t>
            </w: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r w:rsidRPr="002C7A46">
              <w:rPr>
                <w:rFonts w:ascii="Calibri" w:hAnsi="Calibri" w:cs="Calibri"/>
                <w:b/>
                <w:bCs/>
                <w:color w:val="000000"/>
              </w:rPr>
              <w:t>β) Δημιουργία νέων άρθρων εσόδων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Κ.Α.</w:t>
            </w:r>
          </w:p>
        </w:tc>
        <w:tc>
          <w:tcPr>
            <w:tcW w:w="2133"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Ποσό</w:t>
            </w:r>
          </w:p>
        </w:tc>
        <w:tc>
          <w:tcPr>
            <w:tcW w:w="143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ΤΕΛΙΚΗ ΠΙΣΤΩΣΗ</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ΑΙΤΙΟΛΟΓΙΑ</w:t>
            </w:r>
          </w:p>
        </w:tc>
      </w:tr>
      <w:tr w:rsidR="002C7A46" w:rsidRPr="002C7A46" w:rsidTr="00357BFB">
        <w:trPr>
          <w:trHeight w:val="163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1329.01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Έσοδα για τον Καθαρισμό και συντήρηση φρεατίων υδροσυλλογής του δικτύου </w:t>
            </w:r>
            <w:r w:rsidR="008D3B83" w:rsidRPr="002C7A46">
              <w:rPr>
                <w:rFonts w:ascii="Calibri" w:hAnsi="Calibri" w:cs="Calibri"/>
              </w:rPr>
              <w:t>όμβριων</w:t>
            </w:r>
            <w:r w:rsidRPr="002C7A46">
              <w:rPr>
                <w:rFonts w:ascii="Calibri" w:hAnsi="Calibri" w:cs="Calibri"/>
              </w:rPr>
              <w:t xml:space="preserve"> υδάτων που βρίσκεται στα όρια περιοχής ευθύνης της ΕΥΔΑΠ ΑΕ</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4.815,31</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4.815,31</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εσόδων σύμφωνα με την αρ. πρωτ. 42926/6-11-14 απόφαση του Υπουργού Εσωτερικών (ΑΔΑ : 7ΘΤΡΝ-ΑΑ7). Ισόποσος κωδικός προβλέπεται στο σκέλος των εξόδων</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Σύνολο νέων άρθρων εσόδων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4.815,31</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4.815,31</w:t>
            </w: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3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3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u w:val="single"/>
              </w:rPr>
            </w:pPr>
            <w:r w:rsidRPr="002C7A46">
              <w:rPr>
                <w:rFonts w:ascii="Calibri" w:hAnsi="Calibri" w:cs="Calibri"/>
                <w:b/>
                <w:bCs/>
                <w:u w:val="single"/>
              </w:rPr>
              <w:t>2. ΣΚΕΛΟΣ ΕΞΟΔΩΝ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u w:val="single"/>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rPr>
            </w:pPr>
            <w:r w:rsidRPr="002C7A46">
              <w:rPr>
                <w:rFonts w:ascii="Calibri" w:hAnsi="Calibri" w:cs="Calibri"/>
                <w:b/>
                <w:bCs/>
              </w:rPr>
              <w:t>Α) Μείωση Πιστώσεων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Κ.Α.</w:t>
            </w:r>
          </w:p>
        </w:tc>
        <w:tc>
          <w:tcPr>
            <w:tcW w:w="2133"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 xml:space="preserve">Ποσό </w:t>
            </w:r>
          </w:p>
        </w:tc>
        <w:tc>
          <w:tcPr>
            <w:tcW w:w="143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ΤΕΛΙΚΗ ΠΙΣΤΩΣΗ</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ΑΙΤΙΟΛΟΓΙΑ</w:t>
            </w:r>
          </w:p>
        </w:tc>
      </w:tr>
      <w:tr w:rsidR="002C7A46" w:rsidRPr="002C7A46" w:rsidTr="00357BFB">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επισκευές, συντηρήσεις, ανακατασκευές, διευρύνσεις πεζοδρομίων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20.760,32</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1.393,94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19.366,38</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του τελικού τόκου  για το 2014. Η σχετική πίστωση μεταφέρεται στο </w:t>
            </w:r>
            <w:r w:rsidRPr="002C7A46">
              <w:rPr>
                <w:rFonts w:ascii="Calibri" w:hAnsi="Calibri" w:cs="Calibri"/>
              </w:rPr>
              <w:t>χρεολύσιο</w:t>
            </w:r>
            <w:r w:rsidR="002C7A46" w:rsidRPr="002C7A46">
              <w:rPr>
                <w:rFonts w:ascii="Calibri" w:hAnsi="Calibri" w:cs="Calibri"/>
              </w:rPr>
              <w:t xml:space="preserve"> χωρίς να αλλάζει το ύψος </w:t>
            </w:r>
            <w:r w:rsidR="002C7A46" w:rsidRPr="002C7A46">
              <w:rPr>
                <w:rFonts w:ascii="Calibri" w:hAnsi="Calibri" w:cs="Calibri"/>
              </w:rPr>
              <w:lastRenderedPageBreak/>
              <w:t xml:space="preserve">των προϋπολογισθέντων </w:t>
            </w:r>
            <w:r w:rsidRPr="002C7A46">
              <w:rPr>
                <w:rFonts w:ascii="Calibri" w:hAnsi="Calibri" w:cs="Calibri"/>
              </w:rPr>
              <w:t>τοκοχρεολυσίων</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lastRenderedPageBreak/>
              <w:t>00.6521.02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απαλλ/ση χώρων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18.832,75</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902,42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17.930,33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εξόφληση ληξιπρόθεσμων οφειλών (ΑΡ. ΣΥΜΒ 6525/10)</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139.681,77</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5.485,84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134.195,93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αποζημίωση δικ/χων λόγω ρυμοτομίας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3.140,93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1.525,47</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1.615,46</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αποπεράτωση  κλειστού κολυμβητηρίου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628,19</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305,12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323,07</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00.6521.07</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αγορά δύο ακινήτων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17.661,72</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1.185,92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16.475,80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ρυμοτομία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2.518,05</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576,44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1.941,61</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00.6521.09</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αγορά οικοπ. έκτασης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883,02</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202,12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680,90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00.6521.10</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αγορά οικοπέδου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1.386,31</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246,38</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1.139,93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αποζημίωση για έκταση που ρυμοτομήθηκε</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131,07</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23,27</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107,80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αποζημίωση για ρυμοτομία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2.303,83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233,63</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2.070,20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εξόφληση ληξιπρόθεσμων οφειλών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10.901,16</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689,97</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10.211,19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αγορά οικοπέδου Προφ. Ηλία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16.609,49</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542,56</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16.066,93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κατασκευή αγωγού ακαθάρτων (Κλεισθένους)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7.023,23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471,52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6.551,71</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00.6521.16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Δανείου για επισκευές οδοστρωμάτων και κατασκευή κρασπεδορείθρων και πλακοστρώσεων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6.840,95</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459,30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6.381,65</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10.6012.06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Ειδική Εκλογική Αποζημίωση για την αντιμετώπιση των εκτάκτων αναγκών κατά την </w:t>
            </w:r>
            <w:r w:rsidRPr="002C7A46">
              <w:rPr>
                <w:rFonts w:ascii="Calibri" w:hAnsi="Calibri" w:cs="Calibri"/>
              </w:rPr>
              <w:lastRenderedPageBreak/>
              <w:t xml:space="preserve">προπαρασκευή και την διεξαγωγή των Δημοτικών &amp; </w:t>
            </w:r>
            <w:r w:rsidR="008D3B83" w:rsidRPr="002C7A46">
              <w:rPr>
                <w:rFonts w:ascii="Calibri" w:hAnsi="Calibri" w:cs="Calibri"/>
              </w:rPr>
              <w:t>Περιφερειακών</w:t>
            </w:r>
            <w:r w:rsidRPr="002C7A46">
              <w:rPr>
                <w:rFonts w:ascii="Calibri" w:hAnsi="Calibri" w:cs="Calibri"/>
              </w:rPr>
              <w:t xml:space="preserve"> εκλογών και των ευρωεκλογών 2014</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lastRenderedPageBreak/>
              <w:t>23.811,00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1.957,00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21.854,00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για να αποδοθεί το αντίστοιχο ποσό ως αποζημίωση στους υπαλλήλους του </w:t>
            </w:r>
            <w:r w:rsidR="002C7A46" w:rsidRPr="002C7A46">
              <w:rPr>
                <w:rFonts w:ascii="Calibri" w:hAnsi="Calibri" w:cs="Calibri"/>
              </w:rPr>
              <w:lastRenderedPageBreak/>
              <w:t>ΠΑΟΔΑΠ  και της Δημοτικής Βιβλιοθήκης του Δήμου με την δημιουργία νέου Κ.Α.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lastRenderedPageBreak/>
              <w:t>10.6041.01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38.900,00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30.900,00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10.6054.01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15.6021.01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316.800,00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306.800,00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15.6052.01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86.400,00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83.400,00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15.6731.01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Επιχορήγηση  σε Σχολικές Επιτροπές  Πρωτοβάθμιας Εκπαίδευσης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Καταργείται ο Κ.Α λόγω λάθους </w:t>
            </w:r>
            <w:r w:rsidR="008D3B83" w:rsidRPr="002C7A46">
              <w:rPr>
                <w:rFonts w:ascii="Calibri" w:hAnsi="Calibri" w:cs="Calibri"/>
              </w:rPr>
              <w:t>κωδικοποίησης</w:t>
            </w:r>
            <w:r w:rsidRPr="002C7A46">
              <w:rPr>
                <w:rFonts w:ascii="Calibri" w:hAnsi="Calibri" w:cs="Calibri"/>
              </w:rPr>
              <w:t xml:space="preserve">. Το σύνολο των </w:t>
            </w:r>
            <w:r w:rsidR="008D3B83" w:rsidRPr="002C7A46">
              <w:rPr>
                <w:rFonts w:ascii="Calibri" w:hAnsi="Calibri" w:cs="Calibri"/>
              </w:rPr>
              <w:t>επιχορηγήσεων</w:t>
            </w:r>
            <w:r w:rsidRPr="002C7A46">
              <w:rPr>
                <w:rFonts w:ascii="Calibri" w:hAnsi="Calibri" w:cs="Calibri"/>
              </w:rPr>
              <w:t xml:space="preserve"> στις σχολικές επιτροπές προβλέπεται στον Κ.Α. 00.6715.08</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20.6011.01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τακτικών υπαλλήλων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1.004.000,00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18.250,00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985.750,00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προκειμένου να αντιμετωπιστούν δαπάνες του τμήματος </w:t>
            </w:r>
            <w:r w:rsidRPr="002C7A46">
              <w:rPr>
                <w:rFonts w:ascii="Calibri" w:hAnsi="Calibri" w:cs="Calibri"/>
              </w:rPr>
              <w:t>καθαριότητας</w:t>
            </w:r>
            <w:r w:rsidR="002C7A46" w:rsidRPr="002C7A46">
              <w:rPr>
                <w:rFonts w:ascii="Calibri" w:hAnsi="Calibri" w:cs="Calibri"/>
              </w:rPr>
              <w:t xml:space="preserve"> σύμφωνα με την αρχή της ανταποδοτικότητας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20.6012.01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Αποζημίωση για υπερωριακή εργασία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146.500,00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προκειμένου να αντιμετωπιστούν δαπάνες του τμήματος </w:t>
            </w:r>
            <w:r w:rsidRPr="002C7A46">
              <w:rPr>
                <w:rFonts w:ascii="Calibri" w:hAnsi="Calibri" w:cs="Calibri"/>
              </w:rPr>
              <w:t>καθαριότητας</w:t>
            </w:r>
            <w:r w:rsidR="002C7A46" w:rsidRPr="002C7A46">
              <w:rPr>
                <w:rFonts w:ascii="Calibri" w:hAnsi="Calibri" w:cs="Calibri"/>
              </w:rPr>
              <w:t xml:space="preserve"> σύμφωνα με την αρχή της ανταποδοτικότητας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20.6699.14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Προμήθεια καλαθιών απορριμμάτων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προκειμένου να αντιμετωπιστούν δαπάνες που τον ηλεκτροφωτισμό αφορούν  σύμφωνα με την αρχή της ανταποδοτικότητας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30.6041.01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44.600,00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2.800,00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41.800,00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30.6051.03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Εισφορά υπέρ ΤΕΑΔΥ εργοδότη</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14.100,00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12.600,00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lastRenderedPageBreak/>
              <w:t>30.6054.01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έκτακτου προσωπικού</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12.500,00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10.200,00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30.6261.12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Προμήθεια και τοποθέτηση πλαστικού χλοοτάπητα στο γήπεδο 5*5 του 7ου </w:t>
            </w:r>
            <w:r w:rsidR="008D3B83" w:rsidRPr="002C7A46">
              <w:rPr>
                <w:rFonts w:ascii="Calibri" w:hAnsi="Calibri" w:cs="Calibri"/>
              </w:rPr>
              <w:t>Δημ.</w:t>
            </w:r>
            <w:r w:rsidR="008D3B83">
              <w:rPr>
                <w:rFonts w:ascii="Calibri" w:hAnsi="Calibri" w:cs="Calibri"/>
              </w:rPr>
              <w:t xml:space="preserve"> </w:t>
            </w:r>
            <w:r w:rsidR="008D3B83" w:rsidRPr="002C7A46">
              <w:rPr>
                <w:rFonts w:ascii="Calibri" w:hAnsi="Calibri" w:cs="Calibri"/>
              </w:rPr>
              <w:t>Σχολείου</w:t>
            </w:r>
            <w:r w:rsidRPr="002C7A46">
              <w:rPr>
                <w:rFonts w:ascii="Calibri" w:hAnsi="Calibri" w:cs="Calibri"/>
              </w:rPr>
              <w:t xml:space="preserve"> Αγίας Παρασκευής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Καταργείται ο Κ.Α </w:t>
            </w:r>
            <w:r w:rsidR="008D3B83" w:rsidRPr="002C7A46">
              <w:rPr>
                <w:rFonts w:ascii="Calibri" w:hAnsi="Calibri" w:cs="Calibri"/>
              </w:rPr>
              <w:t>αφού</w:t>
            </w:r>
            <w:r w:rsidRPr="002C7A46">
              <w:rPr>
                <w:rFonts w:ascii="Calibri" w:hAnsi="Calibri" w:cs="Calibri"/>
              </w:rPr>
              <w:t xml:space="preserve"> η εν λόγω δαπάνη δεν θα πραγματοποιηθεί το 2014.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30.7331.51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Συντηρήσεις - επισκευές - βελτιώσεις και εξοπλισμός υπαιθρίων χώρων και παιδικών χαρών 2012</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149.016,97</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38.930,70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110.086,27</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στο ύψος των της δέσμευσης για το 2014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30.7332.14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Συντηρήσεις - επισκευές - βελτιώσεις και εξοπλισμός υπαίθριων χώρων και παιδικών χαρών έτους 2010</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19.583,04</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19.583,04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Καταργείται ο Κ.Α λόγω ολοκλήρωσης του έργου</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30.7336.08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Διαμόρφωση αυλείου χώρου Ιερού Ναού Αγίου Δημητρίου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80.000,00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40.000,00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40.000,00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επειδή το εν </w:t>
            </w:r>
            <w:r w:rsidRPr="002C7A46">
              <w:rPr>
                <w:rFonts w:ascii="Calibri" w:hAnsi="Calibri" w:cs="Calibri"/>
              </w:rPr>
              <w:t>λ</w:t>
            </w:r>
            <w:r>
              <w:rPr>
                <w:rFonts w:ascii="Calibri" w:hAnsi="Calibri" w:cs="Calibri"/>
              </w:rPr>
              <w:t>ό</w:t>
            </w:r>
            <w:r w:rsidRPr="002C7A46">
              <w:rPr>
                <w:rFonts w:ascii="Calibri" w:hAnsi="Calibri" w:cs="Calibri"/>
              </w:rPr>
              <w:t>γω</w:t>
            </w:r>
            <w:r w:rsidR="002C7A46" w:rsidRPr="002C7A46">
              <w:rPr>
                <w:rFonts w:ascii="Calibri" w:hAnsi="Calibri" w:cs="Calibri"/>
              </w:rPr>
              <w:t xml:space="preserve"> έργο δεν θα εκτελεστεί το 2014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35.6063.01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Προμήθεια γάλακτος υπηρεσιών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5.266,00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5.266,00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Καταργείται ο Κ.Α λόγω ολοκλήρωσης της προμήθειας. Το σύνολο της νέας προμήθειας προβλέπεται στον Κ.Α. 35.6063.08</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40.7111.05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Απαλλοτρίωση ακινήτου στα Ο.Τ.118 και 121</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140.000,00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Μειώνεται</w:t>
            </w:r>
            <w:r w:rsidR="002C7A46" w:rsidRPr="002C7A46">
              <w:rPr>
                <w:rFonts w:ascii="Calibri" w:hAnsi="Calibri" w:cs="Calibri"/>
              </w:rPr>
              <w:t xml:space="preserve"> ο Κ.Α αφού η εν λόγω δαπάνη είναι σε εκκρεμότητα και πρέπει να γίνουν διαδικασίες άρσης και επανεπιβολής και επομένως δεν πρόκειται να πραγματοποιηθούν πληρωμές μέχρι το τέλος του έτους.</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Σύνολο μείωσης εξόδων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2.370.279,80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222.330,64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2.147.949,16</w:t>
            </w: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3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915"/>
        </w:trPr>
        <w:tc>
          <w:tcPr>
            <w:tcW w:w="9430" w:type="dxa"/>
            <w:gridSpan w:val="6"/>
            <w:tcBorders>
              <w:top w:val="nil"/>
              <w:left w:val="nil"/>
              <w:bottom w:val="nil"/>
              <w:right w:val="nil"/>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To ποσό του αποθεματικού από την αναμόρφωση των πιστώσεων στο σκέλος των εσόδων και από την μείωση  σχετικών πιστώσεων στο σκέλος των εξόδων διαμορφώνεται σε 255.970,05 €. Μέσω του αποθεματικού κατανέμεται ποσό για την ενίσχυση πιστώσεων και για την δημιουργία νέων ΚΑ εξόδων  ως εξής:</w:t>
            </w: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4737" w:type="dxa"/>
            <w:gridSpan w:val="3"/>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color w:val="000000"/>
              </w:rPr>
            </w:pPr>
            <w:r w:rsidRPr="002C7A46">
              <w:rPr>
                <w:rFonts w:ascii="Calibri" w:hAnsi="Calibri" w:cs="Calibri"/>
                <w:b/>
                <w:bCs/>
                <w:color w:val="000000"/>
              </w:rPr>
              <w:t>Β) Ενίσχυση πιστώσεων από το αποθεματικό κεφάλαιο</w:t>
            </w: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70"/>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Κ.Α.</w:t>
            </w:r>
          </w:p>
        </w:tc>
        <w:tc>
          <w:tcPr>
            <w:tcW w:w="2133"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Ποσό (Αύξηση)</w:t>
            </w:r>
          </w:p>
        </w:tc>
        <w:tc>
          <w:tcPr>
            <w:tcW w:w="143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ΤΕΛΙΚΗ ΠΙΣΤΩΣΗ</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ΑΙΤΙΟΛΟΓΙΑ</w:t>
            </w:r>
          </w:p>
        </w:tc>
      </w:tr>
      <w:tr w:rsidR="002C7A46" w:rsidRPr="002C7A46" w:rsidTr="00357BFB">
        <w:trPr>
          <w:trHeight w:val="78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00.6222.01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Τηλεφωνικά, τηλεγραφικά &amp; τηλετυπικά </w:t>
            </w:r>
            <w:r w:rsidR="008D3B83" w:rsidRPr="002C7A46">
              <w:rPr>
                <w:rFonts w:ascii="Calibri" w:hAnsi="Calibri" w:cs="Calibri"/>
              </w:rPr>
              <w:t>τέλη</w:t>
            </w:r>
            <w:r w:rsidRPr="002C7A46">
              <w:rPr>
                <w:rFonts w:ascii="Calibri" w:hAnsi="Calibri" w:cs="Calibri"/>
              </w:rPr>
              <w:t xml:space="preserve"> εσωτερικού</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47.000,00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52.000,00</w:t>
            </w:r>
          </w:p>
        </w:tc>
        <w:tc>
          <w:tcPr>
            <w:tcW w:w="1901" w:type="dxa"/>
            <w:tcBorders>
              <w:top w:val="single" w:sz="8" w:space="0" w:color="auto"/>
              <w:left w:val="nil"/>
              <w:bottom w:val="single" w:sz="8" w:space="0" w:color="auto"/>
              <w:right w:val="single" w:sz="8" w:space="0" w:color="000000"/>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με για να αντιμετωπιστεί η αντίστοιχη δαπάνη</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00.6443.01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Επιδείξεις, δεξιώσεις, εορτές &amp; λοιπά θεάματα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52.000,00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61.000,00</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σύμφωνα με το από 11/12/14 αίτημα του γραφείου Δημάρχου</w:t>
            </w:r>
          </w:p>
        </w:tc>
      </w:tr>
      <w:tr w:rsidR="002C7A46" w:rsidRPr="002C7A46" w:rsidTr="00357BFB">
        <w:trPr>
          <w:trHeight w:val="255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00.6492.01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Δικαστικά έξοδα και εκτέλεση δικαστικών αποφάσεων ή συμβιβαστικών πράξεων (περιλαμβάνονται έξοδα πτωχ/σεων, κατασχέσεων εκκαθ/κώς,     σχολαζουσών κληρ/ων, αποζημιώσεων, εργολάβων και προμηθευτών λόγω διαφυγόντος κέρδους, δαπάνες για χρέη κ.λ.π.)</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275.000,00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275.040,00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προκειμένου να αντιμετωπισθεί δαπάνη σε εκτέλεση της 429/14 απόφ. του Ειρηνοδικείου Χαλανδρίου</w:t>
            </w:r>
          </w:p>
        </w:tc>
      </w:tr>
      <w:tr w:rsidR="002C7A46" w:rsidRPr="002C7A46" w:rsidTr="00357BFB">
        <w:trPr>
          <w:trHeight w:val="102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00.6495.08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Διάφορα Έξοδα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37.550,00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50.550,00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ώστε να τακτοποιηθεί λογιστικά δέσμευση από την εφορία πιστώσεων του σκέλους των εσόδων </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00.6515.01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Αμοιβές και προμήθειες τραπεζών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18.000,00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όσον αφορά την σχετική δαπάνη</w:t>
            </w:r>
          </w:p>
        </w:tc>
      </w:tr>
      <w:tr w:rsidR="002C7A46" w:rsidRPr="002C7A46" w:rsidTr="00357BFB">
        <w:trPr>
          <w:trHeight w:val="150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επισκευές, συντηρήσεις, ανακατασκευές, διευρύνσεις πεζοδρομίων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23.626,38</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1.393,89</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25.020,27</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του τελικού </w:t>
            </w:r>
            <w:r w:rsidR="008D3B83" w:rsidRPr="002C7A46">
              <w:rPr>
                <w:rFonts w:ascii="Calibri" w:hAnsi="Calibri" w:cs="Calibri"/>
              </w:rPr>
              <w:t>χρεολυσίου</w:t>
            </w:r>
            <w:r w:rsidRPr="002C7A46">
              <w:rPr>
                <w:rFonts w:ascii="Calibri" w:hAnsi="Calibri" w:cs="Calibri"/>
              </w:rPr>
              <w:t xml:space="preserve">  για το 2014. Η τελική πίστωση διαμορφώνεται από αντίστοιχη μείωση στους </w:t>
            </w:r>
            <w:r w:rsidR="008D3B83" w:rsidRPr="002C7A46">
              <w:rPr>
                <w:rFonts w:ascii="Calibri" w:hAnsi="Calibri" w:cs="Calibri"/>
              </w:rPr>
              <w:t>τόκους</w:t>
            </w:r>
            <w:r w:rsidRPr="002C7A46">
              <w:rPr>
                <w:rFonts w:ascii="Calibri" w:hAnsi="Calibri" w:cs="Calibri"/>
              </w:rPr>
              <w:t xml:space="preserve"> χωρίς να αλλάζει το ύψος των προϋπολογισθέντων </w:t>
            </w:r>
            <w:r w:rsidR="008D3B83" w:rsidRPr="002C7A46">
              <w:rPr>
                <w:rFonts w:ascii="Calibri" w:hAnsi="Calibri" w:cs="Calibri"/>
              </w:rPr>
              <w:t>τοκοχρεολυσίων</w:t>
            </w:r>
          </w:p>
        </w:tc>
      </w:tr>
      <w:tr w:rsidR="002C7A46" w:rsidRPr="002C7A46" w:rsidTr="00357BFB">
        <w:trPr>
          <w:trHeight w:val="150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απαλλ/ση χώρων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15.295,94</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902,44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16.198,38</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εξόφληση ληξιπρόθεσμων οφειλών (ΑΡ. ΣΥΜΒ 6525/10)</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92.980,05</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5.485,82</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98.465,87</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αποζημίωση δικ/χων λόγω ρυμοτομίας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25.855,32</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1.525,44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27.380,76</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αποπεράτωση  κλειστού κολυμβητηρίου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5.171,05</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305,08</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5.476,13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00.6526.07</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αγορά δύο ακινήτων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20.100,02</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1.185,97</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21.285,99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ρυμοτομία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9.770,50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576,43</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10.346,93</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00.6526.09</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αγορά οικοπ. έκτασης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3.426,27</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202,08</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3.628,35</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00.6526.10</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αγορά οικοπέδου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4.176,59</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246,40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4.422,99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αποζημίωση για έκταση που ρυμοτομήθηκε</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394,86</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23,25</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418,11</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αποζημίωση για ρυμοτομία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3.959,43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233,66</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4.193,09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εξόφληση ληξιπρόθεσμων οφειλών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9.828,09</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690,00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10.518,09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αγορά οικοπέδου Προφ. Ηλία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9.195,54</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542,54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9.738,08</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κατασκευή αγωγού ακαθάρτων (Κλεισθένους)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7.992,83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471,56</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8.464,39</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00.6526.16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Χρεολύσιο Δανείου για επισκευές οδοστρωμάτων και κατασκευή κρασπεδορείθρων και πλακοστρώσεων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7.785,38</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459,34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8.244,72</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Ομοίως με την ανωτέρω αιτιολογία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00.6715.08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Επιχορήγηση σε Σχολικές Επιτροπές  Πρωτοβάθμιας &amp; Δευτεροβάθμιας Εκπαίδευσης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24.539,04</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269.539,04</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σύμφωνα με την 1322/16-1-2014 απόφαση του Υπουργού Εσωτερικών  (ΑΔΑ: ΒΙΨ4Ν-Ψ1Θ) που αφορά την θέρμανση των σχολικών μονάδων του Δήμου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00.6721.02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Εισφορά  υπέρ  Συνδέσμου για </w:t>
            </w:r>
            <w:r w:rsidR="008D3B83" w:rsidRPr="002C7A46">
              <w:rPr>
                <w:rFonts w:ascii="Calibri" w:hAnsi="Calibri" w:cs="Calibri"/>
              </w:rPr>
              <w:t>Βιώσιμη</w:t>
            </w:r>
            <w:r w:rsidRPr="002C7A46">
              <w:rPr>
                <w:rFonts w:ascii="Calibri" w:hAnsi="Calibri" w:cs="Calibri"/>
              </w:rPr>
              <w:t xml:space="preserve"> Ανάπτυξη των Πόλεων (ΣΒΑΠ)</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4.436,95</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14.436,95</w:t>
            </w:r>
          </w:p>
        </w:tc>
        <w:tc>
          <w:tcPr>
            <w:tcW w:w="1901" w:type="dxa"/>
            <w:tcBorders>
              <w:top w:val="single" w:sz="8" w:space="0" w:color="auto"/>
              <w:left w:val="nil"/>
              <w:bottom w:val="single" w:sz="8" w:space="0" w:color="auto"/>
              <w:right w:val="single" w:sz="8" w:space="0" w:color="000000"/>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Ενισχύεται ο Κ.Α για να αντιμετωπιστεί η αντίστοιχη δαπάνη βάση του υπ’ αριθμ. 31121/6-11-14 εγγράφου του ΥΠΕΣ.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00.6734.01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Επιχορήγηση σε Αθλητικούς Συλλόγους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106.000,00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118.000,00</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προκειμένου να αντιμετωπισθεί δαπάνη από την Επιχορήγηση σε Αθλητικούς Συλλόγους άρθρο 202 ν 3463/06</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00.6735.01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Επιχορήγηση σε Πολιτιστικούς συλλόγους και σωματεία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42.500,00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57.500,00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προκειμένου να αντιμετωπισθεί δαπάνη από την Επιχορήγηση σε Πολιτιστικούς συλλόγους και σωματεία άρθρο 202 ν 3463/06</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00.6823.01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Τόκοι εκ λοιπών χρεών σε εκτέλεση δικαστικών αποφάσεων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80.000,00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όσον αφορά την σχετική δαπάνη</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10.6021.01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264.580,00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270.080,00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της εκτίμησης 31/12/14 προκειμένου να αντιμετωπιστεί δαπάνη που προκύπτει από μετακίνηση υπαλλήλων στις υπηρεσίες Διοίκησης και από την αυτοδιοικητική κινητικότητα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10.6052.01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68.000,00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5.700,00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73.700,00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στο ύψος των της εκτίμησης 31/12/14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15.6051.01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Εισφορά υπέρ ΙΚΑ</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15.400,00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για εργοδοτικές εισφορές υπαλλήλων πολεοδομίας που συμμετείχαν στις αυτοδιοικητικές εκλογές και τις ευρωεκλογές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15.6051.02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24.700,00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24.850,00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για εργοδοτικές εισφορές υπαλλήλων πολεοδομίας που συμμετείχαν στις αυτοδιοικητικές εκλογές και τις ευρωεκλογές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15.6117.26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Κτηνιατρικές πράξεις - εργασίες - νοσηλείες που αφορούν αδέσποτα ζώα του Δήμου μας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19.815,68</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13.000,00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32.815,68</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σύμφωνα με το 42926/10-11-14 έγγραφο του τμήματος Προστασίας και Αγωγής Δημόσιας Υγείας και αφόρα δαπάνη συνολικού ύψους 23.995,55 € από τα οποία 13.000,00 θα βαρύνουν το 2014</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15.6264.28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Συντήρηση και επισκευή λοιπών μηχανημάτων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1.600,00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για την επισκευή μηχανήματος στο Κοινωνικό </w:t>
            </w:r>
            <w:r w:rsidR="008D3B83" w:rsidRPr="002C7A46">
              <w:rPr>
                <w:rFonts w:ascii="Calibri" w:hAnsi="Calibri" w:cs="Calibri"/>
              </w:rPr>
              <w:t>Μαγειρείο</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20.6041.01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εκτάκτων υπαλλήλων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376.000,00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17.000,00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393.000,00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στο ύψος των της εκτίμησης 31/12/14 για προσωπικό ΙΔΟΧ</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20.6042.01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Αποζημίωση για υπερωριακή εργασία υπαλλήλων με σύμβαση ορισμένου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31.500,00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για </w:t>
            </w:r>
            <w:r w:rsidR="008D3B83" w:rsidRPr="002C7A46">
              <w:rPr>
                <w:rFonts w:ascii="Calibri" w:hAnsi="Calibri" w:cs="Calibri"/>
              </w:rPr>
              <w:t>αποζημίωση</w:t>
            </w:r>
            <w:r w:rsidRPr="002C7A46">
              <w:rPr>
                <w:rFonts w:ascii="Calibri" w:hAnsi="Calibri" w:cs="Calibri"/>
              </w:rPr>
              <w:t xml:space="preserve"> από υπερωριακή </w:t>
            </w:r>
            <w:r w:rsidR="008D3B83" w:rsidRPr="002C7A46">
              <w:rPr>
                <w:rFonts w:ascii="Calibri" w:hAnsi="Calibri" w:cs="Calibri"/>
              </w:rPr>
              <w:t>απασχόληση</w:t>
            </w:r>
            <w:r w:rsidRPr="002C7A46">
              <w:rPr>
                <w:rFonts w:ascii="Calibri" w:hAnsi="Calibri" w:cs="Calibri"/>
              </w:rPr>
              <w:t xml:space="preserve"> υπαλλήλων ΙΔΟΧ της καθαριότητας</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30.6021.01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Αποδοχές τακτικών υπαλλήλων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84.900,00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86.400,00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30.6051.02</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Εισφορά υπέρ ΤΥΔΚΥ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30.800,00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31.300,00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30.6051.04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Εισφορά υπέρ ΚΥΤ</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8.300,00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8.600,00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30.6051.06</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Εργοδοτική εισφορά υπέρ ΤΣΜΕΔΕ</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25.700,00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900,00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26.600,00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υπαλλήλων με σύμβαση αορίστου χρόνου.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23.400,00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1.700,00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25.100,00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30.6054.03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ΚΥΤ έκτακτου προσωπικού</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700,00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800,00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30.6054.04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ΤΣΜΕΔΕ έκτακτου προσωπικού</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2.200,00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2.700,00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30.6054.05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Εργοδοτική εισφορά ΕΠΙΚΟΥΡΙΚΟΥ ΜΗΧΑΝΙΚΩΝ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600,00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1.100,00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Ενισχύεται ο Κ.Α στο ύψος των της εκτίμησης 31/12/14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Σύνολο ενίσχυσης εξόδων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2.101.653,93</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182.259,89</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2.283.913,82</w:t>
            </w: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rPr>
            </w:pPr>
            <w:r w:rsidRPr="002C7A46">
              <w:rPr>
                <w:rFonts w:ascii="Calibri" w:hAnsi="Calibri" w:cs="Calibri"/>
                <w:b/>
                <w:bCs/>
              </w:rPr>
              <w:t>Γ) Δημιουργία νέων άρθρων εξόδων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single" w:sz="4" w:space="0" w:color="auto"/>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Κ.Α.</w:t>
            </w:r>
          </w:p>
        </w:tc>
        <w:tc>
          <w:tcPr>
            <w:tcW w:w="2133"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Περιγραφή</w:t>
            </w:r>
          </w:p>
        </w:tc>
        <w:tc>
          <w:tcPr>
            <w:tcW w:w="147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ΠΡΟΗΓ. ΠΙΣΤΩΣΗ</w:t>
            </w:r>
          </w:p>
        </w:tc>
        <w:tc>
          <w:tcPr>
            <w:tcW w:w="135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Ποσό</w:t>
            </w:r>
          </w:p>
        </w:tc>
        <w:tc>
          <w:tcPr>
            <w:tcW w:w="1436"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ΤΕΛΙΚΗ ΠΙΣΤΩΣΗ</w:t>
            </w:r>
          </w:p>
        </w:tc>
        <w:tc>
          <w:tcPr>
            <w:tcW w:w="1901" w:type="dxa"/>
            <w:tcBorders>
              <w:top w:val="single" w:sz="4" w:space="0" w:color="auto"/>
              <w:left w:val="nil"/>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ΑΙΤΙΟΛΟΓΙΑ</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00.6431.13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Έξοδα</w:t>
            </w:r>
            <w:r w:rsidR="002C7A46" w:rsidRPr="002C7A46">
              <w:rPr>
                <w:rFonts w:ascii="Calibri" w:hAnsi="Calibri" w:cs="Calibri"/>
              </w:rPr>
              <w:t xml:space="preserve"> ενημέρωσης και προβολής δραστηριοτήτων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σύμφωνα με το από 11/12/14 αίτημα του γραφείου Δημάρχου</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00.6495.04</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8D3B83" w:rsidP="002C7A46">
            <w:pPr>
              <w:rPr>
                <w:rFonts w:ascii="Calibri" w:hAnsi="Calibri" w:cs="Calibri"/>
              </w:rPr>
            </w:pPr>
            <w:r w:rsidRPr="002C7A46">
              <w:rPr>
                <w:rFonts w:ascii="Calibri" w:hAnsi="Calibri" w:cs="Calibri"/>
              </w:rPr>
              <w:t>Αποζημιώσεις</w:t>
            </w:r>
            <w:r w:rsidR="002C7A46" w:rsidRPr="002C7A46">
              <w:rPr>
                <w:rFonts w:ascii="Calibri" w:hAnsi="Calibri" w:cs="Calibri"/>
              </w:rPr>
              <w:t xml:space="preserve"> πολιτών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Ενισχύεται ο Κ.Α για αντιμετώπιση της σχετικής δαπάνης</w:t>
            </w:r>
          </w:p>
        </w:tc>
      </w:tr>
      <w:tr w:rsidR="002C7A46" w:rsidRPr="002C7A46" w:rsidTr="00357BFB">
        <w:trPr>
          <w:trHeight w:val="204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00.6715.10</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Απόδοση Ειδικής Εκλογικής Αποζημίωσης για την αντιμετώπιση των εκτάκτων αναγκών κατά την προπαρασκευή και την διεξαγωγή των Δημοτικών &amp; </w:t>
            </w:r>
            <w:r w:rsidR="008D3B83" w:rsidRPr="002C7A46">
              <w:rPr>
                <w:rFonts w:ascii="Calibri" w:hAnsi="Calibri" w:cs="Calibri"/>
              </w:rPr>
              <w:t>Περιφερειακών</w:t>
            </w:r>
            <w:r w:rsidRPr="002C7A46">
              <w:rPr>
                <w:rFonts w:ascii="Calibri" w:hAnsi="Calibri" w:cs="Calibri"/>
              </w:rPr>
              <w:t xml:space="preserve"> εκλογών και των ευρωεκλογών 2014 σε ΠΑΟΔΑΠ και Δημοτική Βιβλιοθήκη</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2.007,00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2.007,00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για ην απόδοση Ειδικής Εκλογικής Αποζημίωσης σε ΠΑΟΔΑΠ και Δημοτική Βιβλιοθήκη</w:t>
            </w:r>
          </w:p>
        </w:tc>
      </w:tr>
      <w:tr w:rsidR="002C7A46" w:rsidRPr="002C7A46" w:rsidTr="00357BFB">
        <w:trPr>
          <w:trHeight w:val="76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00.6733.01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Οικονομικές ενισχύσεις απόρων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για Οικονομικές ενισχύσεις απόρων άρθρο 202 ν 3463/06</w:t>
            </w:r>
          </w:p>
        </w:tc>
      </w:tr>
      <w:tr w:rsidR="002C7A46" w:rsidRPr="002C7A46" w:rsidTr="00357BFB">
        <w:trPr>
          <w:trHeight w:val="204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10.6117.03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Παροχή υπηρεσιών Ιατρού εργασίας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Δημιουργείται νέος Κ.Α  σύμφωνα με το από 18-11-14 έγγραφο του τμήματος Δ/νσης Εξυπηρέτησης του Πολίτη &amp; Διοικητικών </w:t>
            </w:r>
            <w:r w:rsidR="008D3B83" w:rsidRPr="002C7A46">
              <w:rPr>
                <w:rFonts w:ascii="Calibri" w:hAnsi="Calibri" w:cs="Calibri"/>
              </w:rPr>
              <w:t>Υπηρεσιών</w:t>
            </w:r>
            <w:r w:rsidRPr="002C7A46">
              <w:rPr>
                <w:rFonts w:ascii="Calibri" w:hAnsi="Calibri" w:cs="Calibri"/>
              </w:rPr>
              <w:t xml:space="preserve"> και αφόρα δαπάνη συνολικού ύψους 9.000,00 € από τα οποία 2.000,00 θα βαρύνουν το 2014</w:t>
            </w:r>
          </w:p>
        </w:tc>
      </w:tr>
      <w:tr w:rsidR="002C7A46" w:rsidRPr="002C7A46" w:rsidTr="00357BFB">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10.6261.18</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Προμήθεια και εγκατάσταση πορτών ασφαλείας στους χώρους που συνδέουν τις υπηρεσίες του Δήμου με τους κοινόχρηστους χώρους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3.599,00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3.599,00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Δημιουργείται νέος Κ.Α  σύμφωνα με το από 25-11-14 έγγραφο του τμήματος Δ/νσης Εξυπηρέτησης του Πολίτη &amp; Διοικητικών </w:t>
            </w:r>
            <w:r w:rsidR="008D3B83" w:rsidRPr="002C7A46">
              <w:rPr>
                <w:rFonts w:ascii="Calibri" w:hAnsi="Calibri" w:cs="Calibri"/>
              </w:rPr>
              <w:t>Υπηρεσιών</w:t>
            </w:r>
            <w:r w:rsidRPr="002C7A46">
              <w:rPr>
                <w:rFonts w:ascii="Calibri" w:hAnsi="Calibri" w:cs="Calibri"/>
              </w:rPr>
              <w:t xml:space="preserve"> </w:t>
            </w:r>
          </w:p>
        </w:tc>
      </w:tr>
      <w:tr w:rsidR="002C7A46" w:rsidRPr="002C7A46" w:rsidTr="00357BFB">
        <w:trPr>
          <w:trHeight w:val="51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10.6274.05</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Καθαρισμός υαλοπινάκων Δημοτικών κτιρίων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που αφορά την σχετική δαπάνη</w:t>
            </w:r>
          </w:p>
        </w:tc>
      </w:tr>
      <w:tr w:rsidR="002C7A46" w:rsidRPr="002C7A46" w:rsidTr="00357BFB">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10.7135.37</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Προμήθεια συστημάτων ωρομέτρησης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2.500,00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Δημιουργείται νέος Κ.Α  σύμφωνα με το από 25-11-14 έγγραφο του τμήματος Δ/νσης Εξυπηρέτησης του Πολίτη &amp; Διοικητικών </w:t>
            </w:r>
            <w:r w:rsidR="008D3B83" w:rsidRPr="002C7A46">
              <w:rPr>
                <w:rFonts w:ascii="Calibri" w:hAnsi="Calibri" w:cs="Calibri"/>
              </w:rPr>
              <w:t>Υπηρεσιών</w:t>
            </w:r>
            <w:r w:rsidRPr="002C7A46">
              <w:rPr>
                <w:rFonts w:ascii="Calibri" w:hAnsi="Calibri" w:cs="Calibri"/>
              </w:rPr>
              <w:t xml:space="preserve"> </w:t>
            </w:r>
          </w:p>
        </w:tc>
      </w:tr>
      <w:tr w:rsidR="002C7A46" w:rsidRPr="002C7A46" w:rsidTr="00357BFB">
        <w:trPr>
          <w:trHeight w:val="102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20.6422.01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Αποζημίωση για έξοδα κίνησης μηχανικών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1.250,00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1.250,00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Δημιουργείται νέος Κ.Α  για </w:t>
            </w:r>
            <w:r w:rsidR="008D3B83" w:rsidRPr="002C7A46">
              <w:rPr>
                <w:rFonts w:ascii="Calibri" w:hAnsi="Calibri" w:cs="Calibri"/>
              </w:rPr>
              <w:t>έξοδα</w:t>
            </w:r>
            <w:r w:rsidRPr="002C7A46">
              <w:rPr>
                <w:rFonts w:ascii="Calibri" w:hAnsi="Calibri" w:cs="Calibri"/>
              </w:rPr>
              <w:t xml:space="preserve"> κίνησης μηχανικών του τμήματος καθαριότητας και διαχείρισης οχημάτων- μηχανημάτων</w:t>
            </w:r>
          </w:p>
        </w:tc>
      </w:tr>
      <w:tr w:rsidR="002C7A46" w:rsidRPr="002C7A46" w:rsidTr="00357BFB">
        <w:trPr>
          <w:trHeight w:val="102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lastRenderedPageBreak/>
              <w:t>20.6662.51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Προμήθεια ηλεκτρολογικού υλικού 2014</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5.000,00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για προμήθεια υλικών που αφορά τον ηλεκτροφωτισμό οδών, πλατειών και κοινόχρηστων χώρων</w:t>
            </w:r>
          </w:p>
        </w:tc>
      </w:tr>
      <w:tr w:rsidR="002C7A46" w:rsidRPr="002C7A46" w:rsidTr="00357BFB">
        <w:trPr>
          <w:trHeight w:val="127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25.6262.13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Καθαρισμός και συντήρηση φρεατίων υδροσυλλογής του δικτύου </w:t>
            </w:r>
            <w:r w:rsidR="008D3B83" w:rsidRPr="002C7A46">
              <w:rPr>
                <w:rFonts w:ascii="Calibri" w:hAnsi="Calibri" w:cs="Calibri"/>
              </w:rPr>
              <w:t>όμβριων</w:t>
            </w:r>
            <w:r w:rsidRPr="002C7A46">
              <w:rPr>
                <w:rFonts w:ascii="Calibri" w:hAnsi="Calibri" w:cs="Calibri"/>
              </w:rPr>
              <w:t xml:space="preserve"> υδάτων που βρίσκεται στα όρια περιοχής ευθύνης της ΕΥΔΑΠ ΑΕ</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4.815,31</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4.815,31</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2C7A46" w:rsidRPr="002C7A46" w:rsidTr="00357BFB">
        <w:trPr>
          <w:trHeight w:val="1530"/>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30.6142.13</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Εργαστηριακός Έλεγχος σε κατασκευές έργων που εκτελούνται από Επιχειρήσεις Κοινής Ωφελείας, οργανισμούς κλπ πρόσωπα, εντός ορίων  του Δήμου Αγίας Παρασκευής</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2.000,00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με αντίστοιχη αύξηση του αποθεματικού σύμφωνα με το από 6/11/14 έγγραφο της Δ/νσης Τεχνικών Υπηρεσιών</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35.6422.01</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Αποζημίωση για έξοδα κίνησης μηχανικών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1.250,00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1.250,00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Δημιουργείται νέος Κ.Α  για </w:t>
            </w:r>
            <w:r w:rsidR="008D3B83" w:rsidRPr="002C7A46">
              <w:rPr>
                <w:rFonts w:ascii="Calibri" w:hAnsi="Calibri" w:cs="Calibri"/>
              </w:rPr>
              <w:t>έξοδα</w:t>
            </w:r>
            <w:r w:rsidRPr="002C7A46">
              <w:rPr>
                <w:rFonts w:ascii="Calibri" w:hAnsi="Calibri" w:cs="Calibri"/>
              </w:rPr>
              <w:t xml:space="preserve"> κίνησης μηχανικών του τμήματος πρασίνου</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40.6051.07</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Εργοδοτικές εισφορές προσωπικού με σύμβαση Δημοσίου Δικαίου</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300,00</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Δημιουργείται νέος Κ.Α  για εργοδοτικές εισφορές υπαλλήλων πολεοδομίας που συμμετείχαν στις αυτοδιοικητικές εκλογές και τις ευρωεκλογές</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jc w:val="cente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rPr>
            </w:pPr>
            <w:r w:rsidRPr="002C7A46">
              <w:rPr>
                <w:rFonts w:ascii="Calibri" w:hAnsi="Calibri" w:cs="Calibri"/>
              </w:rPr>
              <w:t> </w:t>
            </w:r>
          </w:p>
        </w:tc>
        <w:tc>
          <w:tcPr>
            <w:tcW w:w="1901" w:type="dxa"/>
            <w:tcBorders>
              <w:top w:val="nil"/>
              <w:left w:val="nil"/>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single" w:sz="4" w:space="0" w:color="auto"/>
              <w:bottom w:val="single" w:sz="4" w:space="0" w:color="auto"/>
              <w:right w:val="single" w:sz="4" w:space="0" w:color="auto"/>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w:t>
            </w:r>
          </w:p>
        </w:tc>
        <w:tc>
          <w:tcPr>
            <w:tcW w:w="2133"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Σύνολο νέων άρθρων εξόδων</w:t>
            </w:r>
          </w:p>
        </w:tc>
        <w:tc>
          <w:tcPr>
            <w:tcW w:w="147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0,00</w:t>
            </w:r>
          </w:p>
        </w:tc>
        <w:tc>
          <w:tcPr>
            <w:tcW w:w="135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58.221,31</w:t>
            </w:r>
          </w:p>
        </w:tc>
        <w:tc>
          <w:tcPr>
            <w:tcW w:w="1436" w:type="dxa"/>
            <w:tcBorders>
              <w:top w:val="nil"/>
              <w:left w:val="nil"/>
              <w:bottom w:val="single" w:sz="4" w:space="0" w:color="auto"/>
              <w:right w:val="single" w:sz="4" w:space="0" w:color="auto"/>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0,00</w:t>
            </w:r>
          </w:p>
        </w:tc>
        <w:tc>
          <w:tcPr>
            <w:tcW w:w="1901" w:type="dxa"/>
            <w:tcBorders>
              <w:top w:val="nil"/>
              <w:left w:val="nil"/>
              <w:bottom w:val="single" w:sz="4" w:space="0" w:color="auto"/>
              <w:right w:val="single" w:sz="4" w:space="0" w:color="auto"/>
            </w:tcBorders>
            <w:shd w:val="clear" w:color="auto" w:fill="auto"/>
            <w:noWrap/>
            <w:vAlign w:val="bottom"/>
            <w:hideMark/>
          </w:tcPr>
          <w:p w:rsidR="002C7A46" w:rsidRPr="002C7A46" w:rsidRDefault="002C7A46" w:rsidP="002C7A46">
            <w:pPr>
              <w:rPr>
                <w:rFonts w:ascii="Calibri" w:hAnsi="Calibri" w:cs="Calibri"/>
              </w:rPr>
            </w:pPr>
            <w:r w:rsidRPr="002C7A46">
              <w:rPr>
                <w:rFonts w:ascii="Calibri" w:hAnsi="Calibri" w:cs="Calibri"/>
              </w:rPr>
              <w:t> </w:t>
            </w: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4737" w:type="dxa"/>
            <w:gridSpan w:val="3"/>
            <w:tcBorders>
              <w:top w:val="nil"/>
              <w:left w:val="nil"/>
              <w:bottom w:val="nil"/>
              <w:right w:val="nil"/>
            </w:tcBorders>
            <w:shd w:val="clear" w:color="auto" w:fill="auto"/>
            <w:hideMark/>
          </w:tcPr>
          <w:p w:rsidR="002C7A46" w:rsidRPr="002C7A46" w:rsidRDefault="002C7A46" w:rsidP="002C7A46">
            <w:pPr>
              <w:jc w:val="center"/>
              <w:rPr>
                <w:rFonts w:ascii="Calibri" w:hAnsi="Calibri" w:cs="Calibri"/>
                <w:b/>
                <w:bCs/>
              </w:rPr>
            </w:pPr>
            <w:r w:rsidRPr="002C7A46">
              <w:rPr>
                <w:rFonts w:ascii="Calibri" w:hAnsi="Calibri" w:cs="Calibri"/>
                <w:b/>
                <w:bCs/>
              </w:rPr>
              <w:t>ΑΝΑΚΕΦΑΛΑΙΩΣΗ</w:t>
            </w: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31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Υπάρχον Αποθεματικό Κεφάλαιο :</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r w:rsidRPr="002C7A46">
              <w:rPr>
                <w:rFonts w:ascii="Calibri" w:hAnsi="Calibri" w:cs="Calibri"/>
                <w:b/>
                <w:bCs/>
              </w:rPr>
              <w:t>4.285,06</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Ενίσχυση Αποθεματικού</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α) Λόγω αύξησης σκέλους εσόδων</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r w:rsidRPr="002C7A46">
              <w:rPr>
                <w:rFonts w:ascii="Calibri" w:hAnsi="Calibri" w:cs="Calibri"/>
              </w:rPr>
              <w:t>29.354,35</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β) Από υπάρχουσες πιστώσεις</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r w:rsidRPr="002C7A46">
              <w:rPr>
                <w:rFonts w:ascii="Calibri" w:hAnsi="Calibri" w:cs="Calibri"/>
              </w:rPr>
              <w:t>222.330,64</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Σύνολο Ενίσχυσης :</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b/>
                <w:bCs/>
              </w:rPr>
            </w:pPr>
            <w:r w:rsidRPr="002C7A46">
              <w:rPr>
                <w:rFonts w:ascii="Calibri" w:hAnsi="Calibri" w:cs="Calibri"/>
                <w:b/>
                <w:bCs/>
              </w:rPr>
              <w:t>251.684,99</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Διαμορφωθέν Αποθεματικό</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b/>
                <w:bCs/>
              </w:rPr>
            </w:pPr>
            <w:r w:rsidRPr="002C7A46">
              <w:rPr>
                <w:rFonts w:ascii="Calibri" w:hAnsi="Calibri" w:cs="Calibri"/>
                <w:b/>
                <w:bCs/>
              </w:rPr>
              <w:t>255.970,05</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 xml:space="preserve">Μείωση αποθεματικού </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 xml:space="preserve">α) Για δημιουργία </w:t>
            </w:r>
            <w:r w:rsidRPr="002C7A46">
              <w:rPr>
                <w:rFonts w:ascii="Calibri" w:hAnsi="Calibri" w:cs="Calibri"/>
              </w:rPr>
              <w:lastRenderedPageBreak/>
              <w:t>νέων κωδικών</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r w:rsidRPr="002C7A46">
              <w:rPr>
                <w:rFonts w:ascii="Calibri" w:hAnsi="Calibri" w:cs="Calibri"/>
              </w:rPr>
              <w:t>58.221,31</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r w:rsidRPr="002C7A46">
              <w:rPr>
                <w:rFonts w:ascii="Calibri" w:hAnsi="Calibri" w:cs="Calibri"/>
              </w:rPr>
              <w:t>β) Για ενίσχυση πιστώσεων</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r w:rsidRPr="002C7A46">
              <w:rPr>
                <w:rFonts w:ascii="Calibri" w:hAnsi="Calibri" w:cs="Calibri"/>
              </w:rPr>
              <w:t>182.259,89</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r w:rsidRPr="002C7A46">
              <w:rPr>
                <w:rFonts w:ascii="Calibri" w:hAnsi="Calibri" w:cs="Calibri"/>
              </w:rPr>
              <w:t>γ) Από μείωση σκέλους εσόδων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rPr>
            </w:pPr>
            <w:r w:rsidRPr="002C7A46">
              <w:rPr>
                <w:rFonts w:ascii="Calibri" w:hAnsi="Calibri" w:cs="Calibri"/>
              </w:rPr>
              <w:t>0,00</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Σύνολο Μείωσης :</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b/>
                <w:bCs/>
              </w:rPr>
            </w:pPr>
            <w:r w:rsidRPr="002C7A46">
              <w:rPr>
                <w:rFonts w:ascii="Calibri" w:hAnsi="Calibri" w:cs="Calibri"/>
                <w:b/>
                <w:bCs/>
              </w:rPr>
              <w:t>240.481,20</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p>
        </w:tc>
        <w:tc>
          <w:tcPr>
            <w:tcW w:w="2133" w:type="dxa"/>
            <w:tcBorders>
              <w:top w:val="nil"/>
              <w:left w:val="nil"/>
              <w:bottom w:val="nil"/>
              <w:right w:val="nil"/>
            </w:tcBorders>
            <w:shd w:val="clear" w:color="auto" w:fill="auto"/>
            <w:hideMark/>
          </w:tcPr>
          <w:p w:rsidR="002C7A46" w:rsidRPr="002C7A46" w:rsidRDefault="002C7A46" w:rsidP="002C7A46">
            <w:pPr>
              <w:rPr>
                <w:rFonts w:ascii="Calibri" w:hAnsi="Calibri" w:cs="Calibri"/>
                <w:b/>
                <w:bCs/>
              </w:rPr>
            </w:pPr>
            <w:r w:rsidRPr="002C7A46">
              <w:rPr>
                <w:rFonts w:ascii="Calibri" w:hAnsi="Calibri" w:cs="Calibri"/>
                <w:b/>
                <w:bCs/>
              </w:rPr>
              <w:t>ΝΕΟ ΑΠΟΘΕΜΑΤΙΚΟ ΚΕΦΑΛΑΙΟ :</w:t>
            </w:r>
          </w:p>
        </w:tc>
        <w:tc>
          <w:tcPr>
            <w:tcW w:w="1476" w:type="dxa"/>
            <w:tcBorders>
              <w:top w:val="nil"/>
              <w:left w:val="nil"/>
              <w:bottom w:val="nil"/>
              <w:right w:val="nil"/>
            </w:tcBorders>
            <w:shd w:val="clear" w:color="auto" w:fill="auto"/>
            <w:hideMark/>
          </w:tcPr>
          <w:p w:rsidR="002C7A46" w:rsidRPr="002C7A46" w:rsidRDefault="002C7A46" w:rsidP="002C7A46">
            <w:pPr>
              <w:jc w:val="right"/>
              <w:rPr>
                <w:rFonts w:ascii="Calibri" w:hAnsi="Calibri" w:cs="Calibri"/>
                <w:b/>
                <w:bCs/>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jc w:val="right"/>
              <w:rPr>
                <w:rFonts w:ascii="Calibri" w:hAnsi="Calibri" w:cs="Calibri"/>
                <w:b/>
                <w:bCs/>
              </w:rPr>
            </w:pPr>
            <w:r w:rsidRPr="002C7A46">
              <w:rPr>
                <w:rFonts w:ascii="Calibri" w:hAnsi="Calibri" w:cs="Calibri"/>
                <w:b/>
                <w:bCs/>
              </w:rPr>
              <w:t>15.488,85</w:t>
            </w: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sz w:val="16"/>
                <w:szCs w:val="16"/>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4737" w:type="dxa"/>
            <w:gridSpan w:val="3"/>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rPr>
            </w:pPr>
            <w:r w:rsidRPr="002C7A46">
              <w:rPr>
                <w:rFonts w:ascii="Calibri" w:hAnsi="Calibri" w:cs="Calibri"/>
                <w:b/>
                <w:bCs/>
              </w:rPr>
              <w:t>Ι. ΚΑΤΑΝΟΜΗ ΚΑΠ για ΕΠΕΝΔΥΤΙΚΕΣ ΔΑΠΑΝΕΣ (πρώην ΣΑΤΑ )</w:t>
            </w: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1500"/>
        </w:trPr>
        <w:tc>
          <w:tcPr>
            <w:tcW w:w="9430" w:type="dxa"/>
            <w:gridSpan w:val="6"/>
            <w:tcBorders>
              <w:top w:val="nil"/>
              <w:left w:val="nil"/>
              <w:bottom w:val="nil"/>
              <w:right w:val="nil"/>
            </w:tcBorders>
            <w:shd w:val="clear" w:color="auto" w:fill="auto"/>
            <w:vAlign w:val="bottom"/>
            <w:hideMark/>
          </w:tcPr>
          <w:p w:rsidR="002C7A46" w:rsidRPr="002C7A46" w:rsidRDefault="002C7A46" w:rsidP="002C7A46">
            <w:pPr>
              <w:rPr>
                <w:rFonts w:ascii="Calibri" w:hAnsi="Calibri" w:cs="Calibri"/>
              </w:rPr>
            </w:pPr>
            <w:r w:rsidRPr="002C7A46">
              <w:rPr>
                <w:rFonts w:ascii="Calibri" w:hAnsi="Calibri" w:cs="Calibri"/>
              </w:rPr>
              <w:t xml:space="preserve">Κατανέμεται από αδιάθετες πιστώσεις που αφορούν ΚΑΠ για επενδυτικές δαπάνες (πρώην ΣΑΤΑ) συνολικό ποσό 39.288,68 € στον Κ.Α που αφορά την </w:t>
            </w:r>
            <w:r w:rsidR="008D3B83" w:rsidRPr="002C7A46">
              <w:rPr>
                <w:rFonts w:ascii="Calibri" w:hAnsi="Calibri" w:cs="Calibri"/>
              </w:rPr>
              <w:t>αποπληρωμή</w:t>
            </w:r>
            <w:r w:rsidRPr="002C7A46">
              <w:rPr>
                <w:rFonts w:ascii="Calibri" w:hAnsi="Calibri" w:cs="Calibri"/>
              </w:rPr>
              <w:t xml:space="preserve"> των τιμολογίων  ι) 83/08-04-11 επ΄ ονόματι ΑΚΜΩΝ ΑΤΕ ποσού 14.855,42 και αφορά το έργο "Κατασκευή αγωγών ακαθάρτων έτους 2007" το οποίο είχε προβλεφθεί και χρηματοδοτηθεί από ΣΑΤΑ στο τεχνικό πρόγραμμα του 2010 στον Κ.Α. 30.7312.56 και ιι) 263/31-12-2012 επ΄ ονόματι ΑΦΟΙ Χ.ΜΑΣΤΡΟΚΩΣΤΑ ΑΤΕ ποσού 24.433,26 και αφορά το έργο "Κατασκευή κρασπεδορείθρων και πλακοστρώσεων έτους 2005"  που ομοίως είχε προβλεφθεί στον Κ.Α. 30.7324.14</w:t>
            </w:r>
          </w:p>
        </w:tc>
      </w:tr>
      <w:tr w:rsidR="002C7A46" w:rsidRPr="002C7A46" w:rsidTr="00357BFB">
        <w:trPr>
          <w:trHeight w:val="255"/>
        </w:trPr>
        <w:tc>
          <w:tcPr>
            <w:tcW w:w="1128"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2133"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255"/>
        </w:trPr>
        <w:tc>
          <w:tcPr>
            <w:tcW w:w="3261" w:type="dxa"/>
            <w:gridSpan w:val="2"/>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b/>
                <w:bCs/>
              </w:rPr>
            </w:pPr>
            <w:r w:rsidRPr="002C7A46">
              <w:rPr>
                <w:rFonts w:ascii="Calibri" w:hAnsi="Calibri" w:cs="Calibri"/>
                <w:b/>
                <w:bCs/>
              </w:rPr>
              <w:t>ΙΙ. ΑΠΟΔΟΧΗ ΕΣΟΔΩΝ</w:t>
            </w:r>
          </w:p>
        </w:tc>
        <w:tc>
          <w:tcPr>
            <w:tcW w:w="147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35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436"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c>
          <w:tcPr>
            <w:tcW w:w="1901" w:type="dxa"/>
            <w:tcBorders>
              <w:top w:val="nil"/>
              <w:left w:val="nil"/>
              <w:bottom w:val="nil"/>
              <w:right w:val="nil"/>
            </w:tcBorders>
            <w:shd w:val="clear" w:color="auto" w:fill="auto"/>
            <w:noWrap/>
            <w:vAlign w:val="bottom"/>
            <w:hideMark/>
          </w:tcPr>
          <w:p w:rsidR="002C7A46" w:rsidRPr="002C7A46" w:rsidRDefault="002C7A46" w:rsidP="002C7A46">
            <w:pPr>
              <w:rPr>
                <w:rFonts w:ascii="Calibri" w:hAnsi="Calibri" w:cs="Calibri"/>
              </w:rPr>
            </w:pPr>
          </w:p>
        </w:tc>
      </w:tr>
      <w:tr w:rsidR="002C7A46" w:rsidRPr="002C7A46" w:rsidTr="00357BFB">
        <w:trPr>
          <w:trHeight w:val="660"/>
        </w:trPr>
        <w:tc>
          <w:tcPr>
            <w:tcW w:w="9430" w:type="dxa"/>
            <w:gridSpan w:val="6"/>
            <w:tcBorders>
              <w:top w:val="nil"/>
              <w:left w:val="nil"/>
              <w:bottom w:val="nil"/>
              <w:right w:val="nil"/>
            </w:tcBorders>
            <w:shd w:val="clear" w:color="auto" w:fill="auto"/>
            <w:vAlign w:val="bottom"/>
            <w:hideMark/>
          </w:tcPr>
          <w:p w:rsidR="002C7A46" w:rsidRPr="002C7A46" w:rsidRDefault="002C7A46" w:rsidP="002C7A46">
            <w:pPr>
              <w:rPr>
                <w:rFonts w:ascii="Calibri" w:hAnsi="Calibri" w:cs="Calibri"/>
              </w:rPr>
            </w:pPr>
            <w:r w:rsidRPr="002C7A46">
              <w:rPr>
                <w:rFonts w:ascii="Calibri" w:hAnsi="Calibri" w:cs="Calibri"/>
              </w:rPr>
              <w:t>Με την αρ. πρωτ. 42926/6-11-14 απόφαση του Υπουργού Εσωτερικών (ΑΔΑ : 7ΘΤΡΝ-ΑΑ7) κατανέμεται ποσό 4.815,31 €, για τον Καθαρισμό και συντήρηση φρεατίων υδροσυλλογής του δικτύου ομβρίων υδάτων που βρίσκεται στα όρια περιοχής ευθύνης της ΕΥΔΑΠ ΑΕ</w:t>
            </w:r>
          </w:p>
        </w:tc>
      </w:tr>
    </w:tbl>
    <w:p w:rsidR="00EC3A17" w:rsidRDefault="00EC3A17" w:rsidP="00416374">
      <w:pPr>
        <w:spacing w:line="360" w:lineRule="auto"/>
        <w:jc w:val="both"/>
        <w:rPr>
          <w:rFonts w:asciiTheme="minorHAnsi" w:hAnsiTheme="minorHAnsi" w:cstheme="minorHAnsi"/>
          <w:sz w:val="24"/>
          <w:szCs w:val="24"/>
        </w:rPr>
      </w:pPr>
    </w:p>
    <w:tbl>
      <w:tblPr>
        <w:tblpPr w:leftFromText="180" w:rightFromText="180" w:vertAnchor="text" w:horzAnchor="margin" w:tblpXSpec="center" w:tblpY="94"/>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84"/>
        <w:gridCol w:w="1418"/>
        <w:gridCol w:w="1502"/>
        <w:gridCol w:w="2183"/>
        <w:gridCol w:w="2410"/>
      </w:tblGrid>
      <w:tr w:rsidR="00416374" w:rsidRPr="00D17C1F" w:rsidTr="00146AF6">
        <w:trPr>
          <w:trHeight w:val="255"/>
        </w:trPr>
        <w:tc>
          <w:tcPr>
            <w:tcW w:w="1384"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ΕΙΣΗΓΗΤΗΣ</w:t>
            </w:r>
          </w:p>
        </w:tc>
        <w:tc>
          <w:tcPr>
            <w:tcW w:w="1418"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416374" w:rsidRPr="00D17C1F" w:rsidRDefault="00416374" w:rsidP="00575429">
            <w:pPr>
              <w:autoSpaceDE w:val="0"/>
              <w:autoSpaceDN w:val="0"/>
              <w:adjustRightInd w:val="0"/>
              <w:jc w:val="center"/>
              <w:rPr>
                <w:rFonts w:ascii="Calibri" w:hAnsi="Calibri" w:cs="Calibri"/>
                <w:color w:val="000000"/>
                <w:sz w:val="16"/>
                <w:szCs w:val="16"/>
              </w:rPr>
            </w:pPr>
            <w:r w:rsidRPr="00D17C1F">
              <w:rPr>
                <w:rFonts w:ascii="Calibri" w:hAnsi="Calibri" w:cs="Calibri"/>
                <w:color w:val="000000"/>
                <w:sz w:val="16"/>
                <w:szCs w:val="16"/>
              </w:rPr>
              <w:t>ΔΙΕΥΘΥΝΤΗΣ</w:t>
            </w:r>
          </w:p>
        </w:tc>
        <w:tc>
          <w:tcPr>
            <w:tcW w:w="2183" w:type="dxa"/>
            <w:tcBorders>
              <w:top w:val="single" w:sz="4" w:space="0" w:color="auto"/>
              <w:left w:val="single" w:sz="4" w:space="0" w:color="auto"/>
              <w:bottom w:val="single" w:sz="4" w:space="0" w:color="auto"/>
              <w:right w:val="single" w:sz="4" w:space="0" w:color="auto"/>
            </w:tcBorders>
            <w:hideMark/>
          </w:tcPr>
          <w:p w:rsidR="00416374" w:rsidRPr="00D17C1F" w:rsidRDefault="00BD6966"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w:t>
            </w:r>
            <w:r w:rsidR="00416374" w:rsidRPr="00D17C1F">
              <w:rPr>
                <w:rFonts w:ascii="Calibri" w:hAnsi="Calibri" w:cs="Calibri"/>
                <w:color w:val="000000"/>
                <w:sz w:val="16"/>
                <w:szCs w:val="16"/>
              </w:rPr>
              <w:t xml:space="preserve"> ΑΝΤΙΔΗΜΑΡΧΟΣ ΟΙΚΟΝΟΜΙΚΩΝ ΥΠΗΡΕΣΙΩΝ</w:t>
            </w:r>
          </w:p>
        </w:tc>
        <w:tc>
          <w:tcPr>
            <w:tcW w:w="2410" w:type="dxa"/>
            <w:tcBorders>
              <w:top w:val="single" w:sz="4" w:space="0" w:color="auto"/>
              <w:left w:val="nil"/>
              <w:bottom w:val="single" w:sz="4" w:space="0" w:color="auto"/>
              <w:right w:val="single" w:sz="4" w:space="0" w:color="auto"/>
            </w:tcBorders>
            <w:hideMark/>
          </w:tcPr>
          <w:p w:rsidR="00416374" w:rsidRPr="00D17C1F" w:rsidRDefault="00F777EA" w:rsidP="00575429">
            <w:pPr>
              <w:autoSpaceDE w:val="0"/>
              <w:autoSpaceDN w:val="0"/>
              <w:adjustRightInd w:val="0"/>
              <w:jc w:val="center"/>
              <w:rPr>
                <w:rFonts w:ascii="Calibri" w:hAnsi="Calibri" w:cs="Calibri"/>
                <w:color w:val="000000"/>
                <w:sz w:val="16"/>
                <w:szCs w:val="16"/>
              </w:rPr>
            </w:pPr>
            <w:r>
              <w:rPr>
                <w:rFonts w:ascii="Calibri" w:hAnsi="Calibri" w:cs="Calibri"/>
                <w:color w:val="000000"/>
                <w:sz w:val="16"/>
                <w:szCs w:val="16"/>
              </w:rPr>
              <w:t>Ο ΓΕΝΙΚΟΣ</w:t>
            </w:r>
            <w:r w:rsidR="00416374" w:rsidRPr="00D17C1F">
              <w:rPr>
                <w:rFonts w:ascii="Calibri" w:hAnsi="Calibri" w:cs="Calibri"/>
                <w:color w:val="000000"/>
                <w:sz w:val="16"/>
                <w:szCs w:val="16"/>
              </w:rPr>
              <w:t xml:space="preserve"> ΓΡΑΜΜΑΤΕΑΣ</w:t>
            </w:r>
          </w:p>
        </w:tc>
      </w:tr>
      <w:tr w:rsidR="00416374" w:rsidRPr="00D17C1F" w:rsidTr="00146AF6">
        <w:trPr>
          <w:trHeight w:val="255"/>
        </w:trPr>
        <w:tc>
          <w:tcPr>
            <w:tcW w:w="1384"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single" w:sz="4" w:space="0" w:color="auto"/>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single" w:sz="4" w:space="0" w:color="auto"/>
              <w:left w:val="single" w:sz="4" w:space="0" w:color="auto"/>
              <w:bottom w:val="nil"/>
              <w:right w:val="single" w:sz="4" w:space="0" w:color="auto"/>
            </w:tcBorders>
          </w:tcPr>
          <w:p w:rsidR="00416374" w:rsidRDefault="00416374" w:rsidP="00575429">
            <w:pPr>
              <w:autoSpaceDE w:val="0"/>
              <w:autoSpaceDN w:val="0"/>
              <w:adjustRightInd w:val="0"/>
              <w:jc w:val="center"/>
              <w:rPr>
                <w:rFonts w:ascii="Calibri" w:hAnsi="Calibri" w:cs="Calibri"/>
                <w:color w:val="000000"/>
                <w:sz w:val="16"/>
                <w:szCs w:val="16"/>
              </w:rPr>
            </w:pPr>
          </w:p>
          <w:p w:rsidR="00F96E0A" w:rsidRPr="00D17C1F" w:rsidRDefault="00F96E0A" w:rsidP="00575429">
            <w:pPr>
              <w:autoSpaceDE w:val="0"/>
              <w:autoSpaceDN w:val="0"/>
              <w:adjustRightInd w:val="0"/>
              <w:jc w:val="center"/>
              <w:rPr>
                <w:rFonts w:ascii="Calibri" w:hAnsi="Calibri" w:cs="Calibri"/>
                <w:color w:val="000000"/>
                <w:sz w:val="16"/>
                <w:szCs w:val="16"/>
              </w:rPr>
            </w:pPr>
          </w:p>
        </w:tc>
        <w:tc>
          <w:tcPr>
            <w:tcW w:w="2410" w:type="dxa"/>
            <w:tcBorders>
              <w:top w:val="single" w:sz="4" w:space="0" w:color="auto"/>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146AF6">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183" w:type="dxa"/>
            <w:tcBorders>
              <w:top w:val="nil"/>
              <w:left w:val="single" w:sz="4" w:space="0" w:color="auto"/>
              <w:bottom w:val="nil"/>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nil"/>
              <w:right w:val="single" w:sz="4" w:space="0" w:color="auto"/>
            </w:tcBorders>
            <w:hideMark/>
          </w:tcPr>
          <w:p w:rsidR="00416374" w:rsidRPr="00D17C1F" w:rsidRDefault="00416374" w:rsidP="00575429">
            <w:pPr>
              <w:rPr>
                <w:rFonts w:asciiTheme="minorHAnsi" w:eastAsiaTheme="minorEastAsia" w:hAnsiTheme="minorHAnsi" w:cstheme="minorBidi"/>
                <w:sz w:val="16"/>
                <w:szCs w:val="16"/>
              </w:rPr>
            </w:pPr>
          </w:p>
        </w:tc>
      </w:tr>
      <w:tr w:rsidR="00416374" w:rsidRPr="00D17C1F" w:rsidTr="00F96E0A">
        <w:trPr>
          <w:trHeight w:val="255"/>
        </w:trPr>
        <w:tc>
          <w:tcPr>
            <w:tcW w:w="1384"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nil"/>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nil"/>
              <w:right w:val="single" w:sz="4" w:space="0" w:color="auto"/>
            </w:tcBorders>
            <w:vAlign w:val="bottom"/>
          </w:tcPr>
          <w:p w:rsidR="00416374" w:rsidRPr="00D17C1F" w:rsidRDefault="00146AF6" w:rsidP="00F96E0A">
            <w:pPr>
              <w:jc w:val="center"/>
              <w:rPr>
                <w:rFonts w:ascii="Calibri" w:hAnsi="Calibri" w:cs="Calibri"/>
                <w:sz w:val="16"/>
                <w:szCs w:val="16"/>
              </w:rPr>
            </w:pPr>
            <w:r>
              <w:rPr>
                <w:rFonts w:ascii="Calibri" w:hAnsi="Calibri" w:cs="Calibri"/>
                <w:sz w:val="16"/>
                <w:szCs w:val="16"/>
              </w:rPr>
              <w:t>ΣΠΥΡΙΔΩΝ ΠΑΠΑΓΕΩΡΓΙΟΥ</w:t>
            </w:r>
          </w:p>
        </w:tc>
        <w:tc>
          <w:tcPr>
            <w:tcW w:w="2410" w:type="dxa"/>
            <w:tcBorders>
              <w:top w:val="nil"/>
              <w:left w:val="nil"/>
              <w:bottom w:val="nil"/>
              <w:right w:val="single" w:sz="4" w:space="0" w:color="auto"/>
            </w:tcBorders>
            <w:noWrap/>
            <w:vAlign w:val="bottom"/>
            <w:hideMark/>
          </w:tcPr>
          <w:p w:rsidR="00416374" w:rsidRPr="00D17C1F" w:rsidRDefault="00F96E0A" w:rsidP="00F96E0A">
            <w:pPr>
              <w:jc w:val="center"/>
              <w:rPr>
                <w:rFonts w:asciiTheme="minorHAnsi" w:eastAsiaTheme="minorEastAsia" w:hAnsiTheme="minorHAnsi" w:cstheme="minorBidi"/>
                <w:sz w:val="16"/>
                <w:szCs w:val="16"/>
              </w:rPr>
            </w:pPr>
            <w:r>
              <w:rPr>
                <w:rFonts w:asciiTheme="minorHAnsi" w:eastAsiaTheme="minorEastAsia" w:hAnsiTheme="minorHAnsi" w:cstheme="minorBidi"/>
                <w:sz w:val="16"/>
                <w:szCs w:val="16"/>
              </w:rPr>
              <w:t>ΣΤΕΦΑΝΟΣ ΚΑΣΑΠΙΔΗΣ</w:t>
            </w:r>
          </w:p>
        </w:tc>
      </w:tr>
      <w:tr w:rsidR="00416374" w:rsidRPr="00D17C1F" w:rsidTr="00146AF6">
        <w:trPr>
          <w:trHeight w:val="255"/>
        </w:trPr>
        <w:tc>
          <w:tcPr>
            <w:tcW w:w="1384"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418"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1502" w:type="dxa"/>
            <w:tcBorders>
              <w:top w:val="nil"/>
              <w:left w:val="single" w:sz="4" w:space="0" w:color="auto"/>
              <w:bottom w:val="single" w:sz="4" w:space="0" w:color="auto"/>
              <w:right w:val="single" w:sz="4" w:space="0" w:color="auto"/>
            </w:tcBorders>
          </w:tcPr>
          <w:p w:rsidR="00416374" w:rsidRPr="00D17C1F" w:rsidRDefault="00416374" w:rsidP="00575429">
            <w:pPr>
              <w:rPr>
                <w:rFonts w:ascii="Calibri" w:hAnsi="Calibri" w:cs="Calibri"/>
                <w:sz w:val="16"/>
                <w:szCs w:val="16"/>
              </w:rPr>
            </w:pPr>
          </w:p>
        </w:tc>
        <w:tc>
          <w:tcPr>
            <w:tcW w:w="2183" w:type="dxa"/>
            <w:tcBorders>
              <w:top w:val="nil"/>
              <w:left w:val="single" w:sz="4" w:space="0" w:color="auto"/>
              <w:bottom w:val="single" w:sz="4" w:space="0" w:color="auto"/>
              <w:right w:val="single" w:sz="4" w:space="0" w:color="auto"/>
            </w:tcBorders>
          </w:tcPr>
          <w:p w:rsidR="00416374" w:rsidRPr="00D17C1F" w:rsidRDefault="00416374" w:rsidP="00575429">
            <w:pPr>
              <w:autoSpaceDE w:val="0"/>
              <w:autoSpaceDN w:val="0"/>
              <w:adjustRightInd w:val="0"/>
              <w:jc w:val="center"/>
              <w:rPr>
                <w:rFonts w:ascii="Calibri" w:hAnsi="Calibri" w:cs="Calibri"/>
                <w:color w:val="000000"/>
                <w:sz w:val="16"/>
                <w:szCs w:val="16"/>
              </w:rPr>
            </w:pPr>
          </w:p>
        </w:tc>
        <w:tc>
          <w:tcPr>
            <w:tcW w:w="2410" w:type="dxa"/>
            <w:tcBorders>
              <w:top w:val="nil"/>
              <w:left w:val="nil"/>
              <w:bottom w:val="single" w:sz="4" w:space="0" w:color="auto"/>
              <w:right w:val="single" w:sz="4" w:space="0" w:color="auto"/>
            </w:tcBorders>
            <w:noWrap/>
            <w:vAlign w:val="bottom"/>
            <w:hideMark/>
          </w:tcPr>
          <w:p w:rsidR="00416374" w:rsidRPr="00D17C1F" w:rsidRDefault="00416374" w:rsidP="00575429">
            <w:pPr>
              <w:jc w:val="center"/>
              <w:rPr>
                <w:rFonts w:ascii="Calibri" w:hAnsi="Calibri" w:cs="Calibri"/>
                <w:sz w:val="16"/>
                <w:szCs w:val="16"/>
              </w:rPr>
            </w:pPr>
          </w:p>
        </w:tc>
      </w:tr>
      <w:tr w:rsidR="000E7942" w:rsidTr="00146AF6">
        <w:trPr>
          <w:trHeight w:val="255"/>
        </w:trPr>
        <w:tc>
          <w:tcPr>
            <w:tcW w:w="1384" w:type="dxa"/>
            <w:tcBorders>
              <w:top w:val="single" w:sz="4" w:space="0" w:color="auto"/>
              <w:left w:val="nil"/>
              <w:bottom w:val="nil"/>
              <w:right w:val="nil"/>
            </w:tcBorders>
          </w:tcPr>
          <w:p w:rsidR="000E7942" w:rsidRDefault="000E7942" w:rsidP="000E7942">
            <w:pPr>
              <w:rPr>
                <w:rFonts w:ascii="Calibri" w:hAnsi="Calibri" w:cs="Calibri"/>
              </w:rPr>
            </w:pPr>
          </w:p>
        </w:tc>
        <w:tc>
          <w:tcPr>
            <w:tcW w:w="1418" w:type="dxa"/>
            <w:tcBorders>
              <w:top w:val="single" w:sz="4" w:space="0" w:color="auto"/>
              <w:left w:val="nil"/>
              <w:bottom w:val="nil"/>
              <w:right w:val="nil"/>
            </w:tcBorders>
          </w:tcPr>
          <w:p w:rsidR="000E7942" w:rsidRDefault="000E7942" w:rsidP="000E7942">
            <w:pPr>
              <w:rPr>
                <w:rFonts w:ascii="Calibri" w:hAnsi="Calibri" w:cs="Calibri"/>
              </w:rPr>
            </w:pPr>
          </w:p>
        </w:tc>
        <w:tc>
          <w:tcPr>
            <w:tcW w:w="1502" w:type="dxa"/>
            <w:tcBorders>
              <w:top w:val="single" w:sz="4" w:space="0" w:color="auto"/>
              <w:left w:val="nil"/>
              <w:bottom w:val="nil"/>
              <w:right w:val="nil"/>
            </w:tcBorders>
          </w:tcPr>
          <w:p w:rsidR="000E7942" w:rsidRDefault="000E7942" w:rsidP="000E7942">
            <w:pPr>
              <w:rPr>
                <w:rFonts w:ascii="Calibri" w:hAnsi="Calibri" w:cs="Calibri"/>
              </w:rPr>
            </w:pPr>
          </w:p>
        </w:tc>
        <w:tc>
          <w:tcPr>
            <w:tcW w:w="2183" w:type="dxa"/>
            <w:tcBorders>
              <w:top w:val="single" w:sz="4" w:space="0" w:color="auto"/>
              <w:left w:val="nil"/>
              <w:bottom w:val="nil"/>
              <w:right w:val="nil"/>
            </w:tcBorders>
          </w:tcPr>
          <w:p w:rsidR="000E7942" w:rsidRDefault="000E7942" w:rsidP="000E7942">
            <w:pPr>
              <w:rPr>
                <w:rFonts w:ascii="Calibri" w:hAnsi="Calibri" w:cs="Calibri"/>
              </w:rPr>
            </w:pPr>
          </w:p>
        </w:tc>
        <w:tc>
          <w:tcPr>
            <w:tcW w:w="2410" w:type="dxa"/>
            <w:tcBorders>
              <w:top w:val="single" w:sz="4" w:space="0" w:color="auto"/>
              <w:left w:val="nil"/>
              <w:bottom w:val="nil"/>
              <w:right w:val="nil"/>
            </w:tcBorders>
            <w:noWrap/>
            <w:vAlign w:val="bottom"/>
            <w:hideMark/>
          </w:tcPr>
          <w:p w:rsidR="00146AF6" w:rsidRDefault="00146AF6" w:rsidP="000E7942">
            <w:pPr>
              <w:jc w:val="center"/>
              <w:rPr>
                <w:rFonts w:ascii="Calibri" w:hAnsi="Calibri" w:cs="Calibri"/>
              </w:rPr>
            </w:pPr>
          </w:p>
          <w:p w:rsidR="000E7942" w:rsidRDefault="000E7942" w:rsidP="000E7942">
            <w:pPr>
              <w:jc w:val="center"/>
              <w:rPr>
                <w:rFonts w:ascii="Calibri" w:hAnsi="Calibri" w:cs="Calibri"/>
              </w:rPr>
            </w:pPr>
            <w:r>
              <w:rPr>
                <w:rFonts w:ascii="Calibri" w:hAnsi="Calibri" w:cs="Calibri"/>
              </w:rPr>
              <w:t>Ο ΔΗΜΑΡΧΟΣ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hideMark/>
          </w:tcPr>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0E7942" w:rsidP="000E7942">
            <w:pPr>
              <w:jc w:val="center"/>
              <w:rPr>
                <w:rFonts w:ascii="Calibri" w:hAnsi="Calibri" w:cs="Calibri"/>
                <w:sz w:val="18"/>
                <w:szCs w:val="18"/>
                <w:lang w:val="en-US"/>
              </w:rPr>
            </w:pPr>
          </w:p>
          <w:p w:rsidR="000E7942" w:rsidRPr="00F777EA" w:rsidRDefault="00146AF6" w:rsidP="00146AF6">
            <w:pPr>
              <w:rPr>
                <w:rFonts w:ascii="Calibri" w:hAnsi="Calibri" w:cs="Calibri"/>
                <w:sz w:val="18"/>
                <w:szCs w:val="18"/>
              </w:rPr>
            </w:pPr>
            <w:r w:rsidRPr="00F777EA">
              <w:rPr>
                <w:rFonts w:ascii="Calibri" w:hAnsi="Calibri" w:cs="Calibri"/>
                <w:sz w:val="18"/>
                <w:szCs w:val="18"/>
              </w:rPr>
              <w:t xml:space="preserve">ΙΩΑΝΝΗΣ </w:t>
            </w:r>
            <w:r>
              <w:rPr>
                <w:rFonts w:ascii="Calibri" w:hAnsi="Calibri" w:cs="Calibri"/>
                <w:sz w:val="18"/>
                <w:szCs w:val="18"/>
              </w:rPr>
              <w:t xml:space="preserve"> Ε . </w:t>
            </w:r>
            <w:r w:rsidR="007F7789" w:rsidRPr="00F777EA">
              <w:rPr>
                <w:rFonts w:ascii="Calibri" w:hAnsi="Calibri" w:cs="Calibri"/>
                <w:sz w:val="18"/>
                <w:szCs w:val="18"/>
              </w:rPr>
              <w:t>ΣΤΑΘΟΠΟΥΛΟΣ</w:t>
            </w: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r w:rsidR="000E7942" w:rsidTr="00146AF6">
        <w:trPr>
          <w:trHeight w:val="255"/>
        </w:trPr>
        <w:tc>
          <w:tcPr>
            <w:tcW w:w="1384" w:type="dxa"/>
            <w:tcBorders>
              <w:top w:val="nil"/>
              <w:left w:val="nil"/>
              <w:bottom w:val="nil"/>
              <w:right w:val="nil"/>
            </w:tcBorders>
          </w:tcPr>
          <w:p w:rsidR="000E7942" w:rsidRDefault="000E7942" w:rsidP="000E7942">
            <w:pPr>
              <w:rPr>
                <w:rFonts w:ascii="Calibri" w:hAnsi="Calibri" w:cs="Calibri"/>
              </w:rPr>
            </w:pPr>
          </w:p>
        </w:tc>
        <w:tc>
          <w:tcPr>
            <w:tcW w:w="1418" w:type="dxa"/>
            <w:tcBorders>
              <w:top w:val="nil"/>
              <w:left w:val="nil"/>
              <w:bottom w:val="nil"/>
              <w:right w:val="nil"/>
            </w:tcBorders>
          </w:tcPr>
          <w:p w:rsidR="000E7942" w:rsidRDefault="000E7942" w:rsidP="000E7942">
            <w:pPr>
              <w:rPr>
                <w:rFonts w:ascii="Calibri" w:hAnsi="Calibri" w:cs="Calibri"/>
              </w:rPr>
            </w:pPr>
          </w:p>
        </w:tc>
        <w:tc>
          <w:tcPr>
            <w:tcW w:w="1502" w:type="dxa"/>
            <w:tcBorders>
              <w:top w:val="nil"/>
              <w:left w:val="nil"/>
              <w:bottom w:val="nil"/>
              <w:right w:val="nil"/>
            </w:tcBorders>
          </w:tcPr>
          <w:p w:rsidR="000E7942" w:rsidRDefault="000E7942" w:rsidP="000E7942">
            <w:pPr>
              <w:rPr>
                <w:rFonts w:ascii="Calibri" w:hAnsi="Calibri" w:cs="Calibri"/>
              </w:rPr>
            </w:pPr>
          </w:p>
        </w:tc>
        <w:tc>
          <w:tcPr>
            <w:tcW w:w="2183" w:type="dxa"/>
            <w:tcBorders>
              <w:top w:val="nil"/>
              <w:left w:val="nil"/>
              <w:bottom w:val="nil"/>
              <w:right w:val="nil"/>
            </w:tcBorders>
          </w:tcPr>
          <w:p w:rsidR="000E7942" w:rsidRDefault="000E7942" w:rsidP="000E7942">
            <w:pPr>
              <w:rPr>
                <w:rFonts w:ascii="Calibri" w:hAnsi="Calibri" w:cs="Calibri"/>
              </w:rPr>
            </w:pPr>
          </w:p>
        </w:tc>
        <w:tc>
          <w:tcPr>
            <w:tcW w:w="2410" w:type="dxa"/>
            <w:tcBorders>
              <w:top w:val="nil"/>
              <w:left w:val="nil"/>
              <w:bottom w:val="nil"/>
              <w:right w:val="nil"/>
            </w:tcBorders>
            <w:noWrap/>
            <w:vAlign w:val="bottom"/>
          </w:tcPr>
          <w:p w:rsidR="000E7942" w:rsidRDefault="000E7942" w:rsidP="000E7942">
            <w:pPr>
              <w:jc w:val="center"/>
              <w:rPr>
                <w:rFonts w:ascii="Calibri" w:hAnsi="Calibri" w:cs="Calibri"/>
              </w:rPr>
            </w:pPr>
          </w:p>
        </w:tc>
      </w:tr>
    </w:tbl>
    <w:p w:rsidR="00416374" w:rsidRPr="009504B1" w:rsidRDefault="00416374" w:rsidP="00DE717D">
      <w:pPr>
        <w:spacing w:line="360" w:lineRule="auto"/>
        <w:jc w:val="both"/>
        <w:rPr>
          <w:rFonts w:ascii="Arial" w:hAnsi="Arial" w:cs="Arial"/>
        </w:rPr>
      </w:pPr>
    </w:p>
    <w:sectPr w:rsidR="00416374" w:rsidRPr="009504B1" w:rsidSect="00146AF6">
      <w:headerReference w:type="even" r:id="rId8"/>
      <w:footerReference w:type="default" r:id="rId9"/>
      <w:type w:val="nextColumn"/>
      <w:pgSz w:w="11907" w:h="16840" w:code="9"/>
      <w:pgMar w:top="709" w:right="1418" w:bottom="709" w:left="1418" w:header="720" w:footer="2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65B6" w:rsidRDefault="003165B6">
      <w:r>
        <w:separator/>
      </w:r>
    </w:p>
  </w:endnote>
  <w:endnote w:type="continuationSeparator" w:id="0">
    <w:p w:rsidR="003165B6" w:rsidRDefault="003165B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Verdana">
    <w:panose1 w:val="020B0604030504040204"/>
    <w:charset w:val="A1"/>
    <w:family w:val="swiss"/>
    <w:pitch w:val="variable"/>
    <w:sig w:usb0="A10006FF" w:usb1="4000205B" w:usb2="00000010" w:usb3="00000000" w:csb0="0000019F" w:csb1="00000000"/>
  </w:font>
  <w:font w:name="MS Sans Serif">
    <w:panose1 w:val="00000000000000000000"/>
    <w:charset w:val="A1"/>
    <w:family w:val="swiss"/>
    <w:notTrueType/>
    <w:pitch w:val="variable"/>
    <w:sig w:usb0="00000081" w:usb1="00000000" w:usb2="00000000" w:usb3="00000000" w:csb0="00000008"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692663"/>
      <w:docPartObj>
        <w:docPartGallery w:val="Page Numbers (Bottom of Page)"/>
        <w:docPartUnique/>
      </w:docPartObj>
    </w:sdtPr>
    <w:sdtContent>
      <w:p w:rsidR="003165B6" w:rsidRDefault="00D4188F">
        <w:pPr>
          <w:pStyle w:val="a9"/>
          <w:jc w:val="center"/>
        </w:pPr>
        <w:fldSimple w:instr=" PAGE   \* MERGEFORMAT ">
          <w:r w:rsidR="00F52377">
            <w:rPr>
              <w:noProof/>
            </w:rPr>
            <w:t>1</w:t>
          </w:r>
        </w:fldSimple>
      </w:p>
    </w:sdtContent>
  </w:sdt>
  <w:p w:rsidR="003165B6" w:rsidRDefault="003165B6">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65B6" w:rsidRDefault="003165B6">
      <w:r>
        <w:separator/>
      </w:r>
    </w:p>
  </w:footnote>
  <w:footnote w:type="continuationSeparator" w:id="0">
    <w:p w:rsidR="003165B6" w:rsidRDefault="003165B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5B6" w:rsidRDefault="00D4188F">
    <w:pPr>
      <w:pStyle w:val="a8"/>
      <w:framePr w:wrap="around" w:vAnchor="text" w:hAnchor="margin" w:xAlign="center" w:y="1"/>
      <w:rPr>
        <w:rStyle w:val="aa"/>
      </w:rPr>
    </w:pPr>
    <w:r>
      <w:rPr>
        <w:rStyle w:val="aa"/>
      </w:rPr>
      <w:fldChar w:fldCharType="begin"/>
    </w:r>
    <w:r w:rsidR="003165B6">
      <w:rPr>
        <w:rStyle w:val="aa"/>
      </w:rPr>
      <w:instrText xml:space="preserve">PAGE  </w:instrText>
    </w:r>
    <w:r>
      <w:rPr>
        <w:rStyle w:val="aa"/>
      </w:rPr>
      <w:fldChar w:fldCharType="end"/>
    </w:r>
  </w:p>
  <w:p w:rsidR="003165B6" w:rsidRDefault="003165B6">
    <w:pPr>
      <w:pStyle w:val="a8"/>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B07C5C"/>
    <w:multiLevelType w:val="hybridMultilevel"/>
    <w:tmpl w:val="A2202BC8"/>
    <w:lvl w:ilvl="0" w:tplc="04080011">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1">
    <w:nsid w:val="1319693F"/>
    <w:multiLevelType w:val="hybridMultilevel"/>
    <w:tmpl w:val="2976F748"/>
    <w:lvl w:ilvl="0" w:tplc="45AC288A">
      <w:start w:val="1"/>
      <w:numFmt w:val="bullet"/>
      <w:lvlText w:val=""/>
      <w:lvlJc w:val="left"/>
      <w:pPr>
        <w:tabs>
          <w:tab w:val="num" w:pos="870"/>
        </w:tabs>
        <w:ind w:left="870" w:hanging="360"/>
      </w:pPr>
      <w:rPr>
        <w:rFonts w:ascii="Symbol" w:hAnsi="Symbol" w:hint="default"/>
        <w:color w:val="auto"/>
      </w:rPr>
    </w:lvl>
    <w:lvl w:ilvl="1" w:tplc="04080003" w:tentative="1">
      <w:start w:val="1"/>
      <w:numFmt w:val="bullet"/>
      <w:lvlText w:val="o"/>
      <w:lvlJc w:val="left"/>
      <w:pPr>
        <w:tabs>
          <w:tab w:val="num" w:pos="1590"/>
        </w:tabs>
        <w:ind w:left="1590" w:hanging="360"/>
      </w:pPr>
      <w:rPr>
        <w:rFonts w:ascii="Courier New" w:hAnsi="Courier New" w:cs="Courier New" w:hint="default"/>
      </w:rPr>
    </w:lvl>
    <w:lvl w:ilvl="2" w:tplc="04080005" w:tentative="1">
      <w:start w:val="1"/>
      <w:numFmt w:val="bullet"/>
      <w:lvlText w:val=""/>
      <w:lvlJc w:val="left"/>
      <w:pPr>
        <w:tabs>
          <w:tab w:val="num" w:pos="2310"/>
        </w:tabs>
        <w:ind w:left="2310" w:hanging="360"/>
      </w:pPr>
      <w:rPr>
        <w:rFonts w:ascii="Wingdings" w:hAnsi="Wingdings" w:hint="default"/>
      </w:rPr>
    </w:lvl>
    <w:lvl w:ilvl="3" w:tplc="04080001" w:tentative="1">
      <w:start w:val="1"/>
      <w:numFmt w:val="bullet"/>
      <w:lvlText w:val=""/>
      <w:lvlJc w:val="left"/>
      <w:pPr>
        <w:tabs>
          <w:tab w:val="num" w:pos="3030"/>
        </w:tabs>
        <w:ind w:left="3030" w:hanging="360"/>
      </w:pPr>
      <w:rPr>
        <w:rFonts w:ascii="Symbol" w:hAnsi="Symbol" w:hint="default"/>
      </w:rPr>
    </w:lvl>
    <w:lvl w:ilvl="4" w:tplc="04080003" w:tentative="1">
      <w:start w:val="1"/>
      <w:numFmt w:val="bullet"/>
      <w:lvlText w:val="o"/>
      <w:lvlJc w:val="left"/>
      <w:pPr>
        <w:tabs>
          <w:tab w:val="num" w:pos="3750"/>
        </w:tabs>
        <w:ind w:left="3750" w:hanging="360"/>
      </w:pPr>
      <w:rPr>
        <w:rFonts w:ascii="Courier New" w:hAnsi="Courier New" w:cs="Courier New" w:hint="default"/>
      </w:rPr>
    </w:lvl>
    <w:lvl w:ilvl="5" w:tplc="04080005" w:tentative="1">
      <w:start w:val="1"/>
      <w:numFmt w:val="bullet"/>
      <w:lvlText w:val=""/>
      <w:lvlJc w:val="left"/>
      <w:pPr>
        <w:tabs>
          <w:tab w:val="num" w:pos="4470"/>
        </w:tabs>
        <w:ind w:left="4470" w:hanging="360"/>
      </w:pPr>
      <w:rPr>
        <w:rFonts w:ascii="Wingdings" w:hAnsi="Wingdings" w:hint="default"/>
      </w:rPr>
    </w:lvl>
    <w:lvl w:ilvl="6" w:tplc="04080001" w:tentative="1">
      <w:start w:val="1"/>
      <w:numFmt w:val="bullet"/>
      <w:lvlText w:val=""/>
      <w:lvlJc w:val="left"/>
      <w:pPr>
        <w:tabs>
          <w:tab w:val="num" w:pos="5190"/>
        </w:tabs>
        <w:ind w:left="5190" w:hanging="360"/>
      </w:pPr>
      <w:rPr>
        <w:rFonts w:ascii="Symbol" w:hAnsi="Symbol" w:hint="default"/>
      </w:rPr>
    </w:lvl>
    <w:lvl w:ilvl="7" w:tplc="04080003" w:tentative="1">
      <w:start w:val="1"/>
      <w:numFmt w:val="bullet"/>
      <w:lvlText w:val="o"/>
      <w:lvlJc w:val="left"/>
      <w:pPr>
        <w:tabs>
          <w:tab w:val="num" w:pos="5910"/>
        </w:tabs>
        <w:ind w:left="5910" w:hanging="360"/>
      </w:pPr>
      <w:rPr>
        <w:rFonts w:ascii="Courier New" w:hAnsi="Courier New" w:cs="Courier New" w:hint="default"/>
      </w:rPr>
    </w:lvl>
    <w:lvl w:ilvl="8" w:tplc="04080005" w:tentative="1">
      <w:start w:val="1"/>
      <w:numFmt w:val="bullet"/>
      <w:lvlText w:val=""/>
      <w:lvlJc w:val="left"/>
      <w:pPr>
        <w:tabs>
          <w:tab w:val="num" w:pos="6630"/>
        </w:tabs>
        <w:ind w:left="6630" w:hanging="360"/>
      </w:pPr>
      <w:rPr>
        <w:rFonts w:ascii="Wingdings" w:hAnsi="Wingdings" w:hint="default"/>
      </w:rPr>
    </w:lvl>
  </w:abstractNum>
  <w:abstractNum w:abstractNumId="2">
    <w:nsid w:val="1E374CFF"/>
    <w:multiLevelType w:val="multilevel"/>
    <w:tmpl w:val="2DE631D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1E513D00"/>
    <w:multiLevelType w:val="hybridMultilevel"/>
    <w:tmpl w:val="CD524FBE"/>
    <w:lvl w:ilvl="0" w:tplc="56F0BA38">
      <w:numFmt w:val="bullet"/>
      <w:lvlText w:val="-"/>
      <w:lvlJc w:val="left"/>
      <w:pPr>
        <w:tabs>
          <w:tab w:val="num" w:pos="360"/>
        </w:tabs>
        <w:ind w:left="397" w:hanging="397"/>
      </w:pPr>
      <w:rPr>
        <w:rFonts w:ascii="Arial" w:hAnsi="Arial" w:hint="default"/>
        <w:b/>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4">
    <w:nsid w:val="2088465E"/>
    <w:multiLevelType w:val="hybridMultilevel"/>
    <w:tmpl w:val="84FC3FD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371564C"/>
    <w:multiLevelType w:val="singleLevel"/>
    <w:tmpl w:val="0408000F"/>
    <w:lvl w:ilvl="0">
      <w:start w:val="1"/>
      <w:numFmt w:val="decimal"/>
      <w:lvlText w:val="%1."/>
      <w:lvlJc w:val="left"/>
      <w:pPr>
        <w:tabs>
          <w:tab w:val="num" w:pos="360"/>
        </w:tabs>
        <w:ind w:left="360" w:hanging="360"/>
      </w:pPr>
    </w:lvl>
  </w:abstractNum>
  <w:abstractNum w:abstractNumId="6">
    <w:nsid w:val="27DA043C"/>
    <w:multiLevelType w:val="hybridMultilevel"/>
    <w:tmpl w:val="60C604D2"/>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7">
    <w:nsid w:val="2B912825"/>
    <w:multiLevelType w:val="hybridMultilevel"/>
    <w:tmpl w:val="092AE3F0"/>
    <w:lvl w:ilvl="0" w:tplc="7CCAB1F4">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8">
    <w:nsid w:val="2BB04450"/>
    <w:multiLevelType w:val="hybridMultilevel"/>
    <w:tmpl w:val="148C7D60"/>
    <w:lvl w:ilvl="0" w:tplc="784672D8">
      <w:start w:val="1"/>
      <w:numFmt w:val="decimal"/>
      <w:lvlText w:val="%1)"/>
      <w:lvlJc w:val="left"/>
      <w:pPr>
        <w:tabs>
          <w:tab w:val="num" w:pos="363"/>
        </w:tabs>
        <w:ind w:left="363" w:hanging="360"/>
      </w:pPr>
      <w:rPr>
        <w:rFonts w:hint="default"/>
      </w:rPr>
    </w:lvl>
    <w:lvl w:ilvl="1" w:tplc="04080019" w:tentative="1">
      <w:start w:val="1"/>
      <w:numFmt w:val="lowerLetter"/>
      <w:lvlText w:val="%2."/>
      <w:lvlJc w:val="left"/>
      <w:pPr>
        <w:tabs>
          <w:tab w:val="num" w:pos="1083"/>
        </w:tabs>
        <w:ind w:left="1083" w:hanging="360"/>
      </w:pPr>
    </w:lvl>
    <w:lvl w:ilvl="2" w:tplc="0408001B" w:tentative="1">
      <w:start w:val="1"/>
      <w:numFmt w:val="lowerRoman"/>
      <w:lvlText w:val="%3."/>
      <w:lvlJc w:val="right"/>
      <w:pPr>
        <w:tabs>
          <w:tab w:val="num" w:pos="1803"/>
        </w:tabs>
        <w:ind w:left="1803" w:hanging="180"/>
      </w:pPr>
    </w:lvl>
    <w:lvl w:ilvl="3" w:tplc="0408000F" w:tentative="1">
      <w:start w:val="1"/>
      <w:numFmt w:val="decimal"/>
      <w:lvlText w:val="%4."/>
      <w:lvlJc w:val="left"/>
      <w:pPr>
        <w:tabs>
          <w:tab w:val="num" w:pos="2523"/>
        </w:tabs>
        <w:ind w:left="2523" w:hanging="360"/>
      </w:pPr>
    </w:lvl>
    <w:lvl w:ilvl="4" w:tplc="04080019" w:tentative="1">
      <w:start w:val="1"/>
      <w:numFmt w:val="lowerLetter"/>
      <w:lvlText w:val="%5."/>
      <w:lvlJc w:val="left"/>
      <w:pPr>
        <w:tabs>
          <w:tab w:val="num" w:pos="3243"/>
        </w:tabs>
        <w:ind w:left="3243" w:hanging="360"/>
      </w:pPr>
    </w:lvl>
    <w:lvl w:ilvl="5" w:tplc="0408001B" w:tentative="1">
      <w:start w:val="1"/>
      <w:numFmt w:val="lowerRoman"/>
      <w:lvlText w:val="%6."/>
      <w:lvlJc w:val="right"/>
      <w:pPr>
        <w:tabs>
          <w:tab w:val="num" w:pos="3963"/>
        </w:tabs>
        <w:ind w:left="3963" w:hanging="180"/>
      </w:pPr>
    </w:lvl>
    <w:lvl w:ilvl="6" w:tplc="0408000F" w:tentative="1">
      <w:start w:val="1"/>
      <w:numFmt w:val="decimal"/>
      <w:lvlText w:val="%7."/>
      <w:lvlJc w:val="left"/>
      <w:pPr>
        <w:tabs>
          <w:tab w:val="num" w:pos="4683"/>
        </w:tabs>
        <w:ind w:left="4683" w:hanging="360"/>
      </w:pPr>
    </w:lvl>
    <w:lvl w:ilvl="7" w:tplc="04080019" w:tentative="1">
      <w:start w:val="1"/>
      <w:numFmt w:val="lowerLetter"/>
      <w:lvlText w:val="%8."/>
      <w:lvlJc w:val="left"/>
      <w:pPr>
        <w:tabs>
          <w:tab w:val="num" w:pos="5403"/>
        </w:tabs>
        <w:ind w:left="5403" w:hanging="360"/>
      </w:pPr>
    </w:lvl>
    <w:lvl w:ilvl="8" w:tplc="0408001B" w:tentative="1">
      <w:start w:val="1"/>
      <w:numFmt w:val="lowerRoman"/>
      <w:lvlText w:val="%9."/>
      <w:lvlJc w:val="right"/>
      <w:pPr>
        <w:tabs>
          <w:tab w:val="num" w:pos="6123"/>
        </w:tabs>
        <w:ind w:left="6123" w:hanging="180"/>
      </w:pPr>
    </w:lvl>
  </w:abstractNum>
  <w:abstractNum w:abstractNumId="9">
    <w:nsid w:val="3CFB3C29"/>
    <w:multiLevelType w:val="hybridMultilevel"/>
    <w:tmpl w:val="574A3D44"/>
    <w:lvl w:ilvl="0" w:tplc="9AECE0FA">
      <w:start w:val="1"/>
      <w:numFmt w:val="bullet"/>
      <w:lvlText w:val=""/>
      <w:lvlJc w:val="left"/>
      <w:pPr>
        <w:tabs>
          <w:tab w:val="num" w:pos="360"/>
        </w:tabs>
        <w:ind w:left="360" w:hanging="360"/>
      </w:pPr>
      <w:rPr>
        <w:rFonts w:ascii="Symbol" w:hAnsi="Symbol" w:hint="default"/>
        <w:color w:val="auto"/>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0">
    <w:nsid w:val="3F6D7036"/>
    <w:multiLevelType w:val="hybridMultilevel"/>
    <w:tmpl w:val="F1700112"/>
    <w:lvl w:ilvl="0" w:tplc="7FCC3E5A">
      <w:start w:val="1"/>
      <w:numFmt w:val="decimal"/>
      <w:lvlText w:val="%1)"/>
      <w:lvlJc w:val="left"/>
      <w:pPr>
        <w:tabs>
          <w:tab w:val="num" w:pos="720"/>
        </w:tabs>
        <w:ind w:left="720" w:hanging="360"/>
      </w:pPr>
      <w:rPr>
        <w:rFonts w:hint="default"/>
      </w:rPr>
    </w:lvl>
    <w:lvl w:ilvl="1" w:tplc="0408000F">
      <w:start w:val="1"/>
      <w:numFmt w:val="decimal"/>
      <w:lvlText w:val="%2."/>
      <w:lvlJc w:val="left"/>
      <w:pPr>
        <w:tabs>
          <w:tab w:val="num" w:pos="1440"/>
        </w:tabs>
        <w:ind w:left="1440" w:hanging="360"/>
      </w:pPr>
      <w:rPr>
        <w:rFonts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1">
    <w:nsid w:val="452A2026"/>
    <w:multiLevelType w:val="hybridMultilevel"/>
    <w:tmpl w:val="2AB26970"/>
    <w:lvl w:ilvl="0" w:tplc="1786BCFA">
      <w:start w:val="1"/>
      <w:numFmt w:val="decimal"/>
      <w:lvlText w:val="%1)"/>
      <w:lvlJc w:val="lef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2">
    <w:nsid w:val="5B35384E"/>
    <w:multiLevelType w:val="hybridMultilevel"/>
    <w:tmpl w:val="24FE7C88"/>
    <w:lvl w:ilvl="0" w:tplc="BC9E74FA">
      <w:start w:val="177"/>
      <w:numFmt w:val="bullet"/>
      <w:lvlText w:val="-"/>
      <w:lvlJc w:val="left"/>
      <w:pPr>
        <w:tabs>
          <w:tab w:val="num" w:pos="720"/>
        </w:tabs>
        <w:ind w:left="720" w:hanging="360"/>
      </w:pPr>
      <w:rPr>
        <w:rFonts w:ascii="Arial" w:eastAsia="Times New Roman" w:hAnsi="Arial" w:cs="Aria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nsid w:val="70EB4857"/>
    <w:multiLevelType w:val="hybridMultilevel"/>
    <w:tmpl w:val="1146162A"/>
    <w:lvl w:ilvl="0" w:tplc="F00A6688">
      <w:start w:val="1"/>
      <w:numFmt w:val="lowerRoman"/>
      <w:lvlText w:val="%1."/>
      <w:lvlJc w:val="right"/>
      <w:pPr>
        <w:tabs>
          <w:tab w:val="num" w:pos="720"/>
        </w:tabs>
        <w:ind w:left="72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14">
    <w:nsid w:val="7EE27454"/>
    <w:multiLevelType w:val="hybridMultilevel"/>
    <w:tmpl w:val="6E5E977E"/>
    <w:lvl w:ilvl="0" w:tplc="0408000F">
      <w:start w:val="1"/>
      <w:numFmt w:val="decimal"/>
      <w:lvlText w:val="%1."/>
      <w:lvlJc w:val="left"/>
      <w:pPr>
        <w:tabs>
          <w:tab w:val="num" w:pos="720"/>
        </w:tabs>
        <w:ind w:left="720" w:hanging="360"/>
      </w:p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num w:numId="1">
    <w:abstractNumId w:val="8"/>
  </w:num>
  <w:num w:numId="2">
    <w:abstractNumId w:val="5"/>
  </w:num>
  <w:num w:numId="3">
    <w:abstractNumId w:val="12"/>
  </w:num>
  <w:num w:numId="4">
    <w:abstractNumId w:val="11"/>
  </w:num>
  <w:num w:numId="5">
    <w:abstractNumId w:val="3"/>
  </w:num>
  <w:num w:numId="6">
    <w:abstractNumId w:val="13"/>
  </w:num>
  <w:num w:numId="7">
    <w:abstractNumId w:val="14"/>
  </w:num>
  <w:num w:numId="8">
    <w:abstractNumId w:val="2"/>
  </w:num>
  <w:num w:numId="9">
    <w:abstractNumId w:val="7"/>
  </w:num>
  <w:num w:numId="10">
    <w:abstractNumId w:val="10"/>
  </w:num>
  <w:num w:numId="11">
    <w:abstractNumId w:val="6"/>
  </w:num>
  <w:num w:numId="12">
    <w:abstractNumId w:val="4"/>
  </w:num>
  <w:num w:numId="13">
    <w:abstractNumId w:val="1"/>
  </w:num>
  <w:num w:numId="14">
    <w:abstractNumId w:val="9"/>
  </w:num>
  <w:num w:numId="1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GrammaticalErrors/>
  <w:proofState w:spelling="clean" w:grammar="clean"/>
  <w:stylePaneFormatFilter w:val="3F01"/>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F7759"/>
    <w:rsid w:val="00001B57"/>
    <w:rsid w:val="0000220A"/>
    <w:rsid w:val="00002560"/>
    <w:rsid w:val="000033F6"/>
    <w:rsid w:val="000052FC"/>
    <w:rsid w:val="00005DE6"/>
    <w:rsid w:val="0001048A"/>
    <w:rsid w:val="00011B32"/>
    <w:rsid w:val="000128AF"/>
    <w:rsid w:val="000134A5"/>
    <w:rsid w:val="00013633"/>
    <w:rsid w:val="00013996"/>
    <w:rsid w:val="00013FC0"/>
    <w:rsid w:val="000144AE"/>
    <w:rsid w:val="00014E7B"/>
    <w:rsid w:val="000154DB"/>
    <w:rsid w:val="00024E51"/>
    <w:rsid w:val="00027E7F"/>
    <w:rsid w:val="00031119"/>
    <w:rsid w:val="0003262A"/>
    <w:rsid w:val="00034105"/>
    <w:rsid w:val="00034DFD"/>
    <w:rsid w:val="00034E89"/>
    <w:rsid w:val="000469B9"/>
    <w:rsid w:val="00053593"/>
    <w:rsid w:val="00054BF6"/>
    <w:rsid w:val="00055907"/>
    <w:rsid w:val="00056F08"/>
    <w:rsid w:val="00060DC2"/>
    <w:rsid w:val="000621B8"/>
    <w:rsid w:val="0006258D"/>
    <w:rsid w:val="0006416E"/>
    <w:rsid w:val="000641BC"/>
    <w:rsid w:val="00065161"/>
    <w:rsid w:val="00065441"/>
    <w:rsid w:val="0006627A"/>
    <w:rsid w:val="000672F1"/>
    <w:rsid w:val="00067C81"/>
    <w:rsid w:val="0007144F"/>
    <w:rsid w:val="00074D6F"/>
    <w:rsid w:val="00080C83"/>
    <w:rsid w:val="00081034"/>
    <w:rsid w:val="000831AD"/>
    <w:rsid w:val="0008627F"/>
    <w:rsid w:val="00087423"/>
    <w:rsid w:val="00096EB8"/>
    <w:rsid w:val="000977D8"/>
    <w:rsid w:val="000A1B64"/>
    <w:rsid w:val="000A5F96"/>
    <w:rsid w:val="000B04AA"/>
    <w:rsid w:val="000B1D27"/>
    <w:rsid w:val="000B3466"/>
    <w:rsid w:val="000B53D6"/>
    <w:rsid w:val="000C1C2F"/>
    <w:rsid w:val="000C256D"/>
    <w:rsid w:val="000D25E1"/>
    <w:rsid w:val="000D38CC"/>
    <w:rsid w:val="000D448E"/>
    <w:rsid w:val="000D6842"/>
    <w:rsid w:val="000D7CC5"/>
    <w:rsid w:val="000E0862"/>
    <w:rsid w:val="000E3DB9"/>
    <w:rsid w:val="000E4A24"/>
    <w:rsid w:val="000E4A72"/>
    <w:rsid w:val="000E7942"/>
    <w:rsid w:val="000F1B4A"/>
    <w:rsid w:val="000F2D90"/>
    <w:rsid w:val="000F5C85"/>
    <w:rsid w:val="000F66B1"/>
    <w:rsid w:val="000F713E"/>
    <w:rsid w:val="00102D71"/>
    <w:rsid w:val="00102DEA"/>
    <w:rsid w:val="00107BC7"/>
    <w:rsid w:val="001154BC"/>
    <w:rsid w:val="00115FC9"/>
    <w:rsid w:val="0012035A"/>
    <w:rsid w:val="00120F29"/>
    <w:rsid w:val="00123601"/>
    <w:rsid w:val="001237D6"/>
    <w:rsid w:val="00124535"/>
    <w:rsid w:val="00125275"/>
    <w:rsid w:val="00130F07"/>
    <w:rsid w:val="00136568"/>
    <w:rsid w:val="00136F7A"/>
    <w:rsid w:val="0014089F"/>
    <w:rsid w:val="00146AF6"/>
    <w:rsid w:val="00150A41"/>
    <w:rsid w:val="001517BD"/>
    <w:rsid w:val="00153E60"/>
    <w:rsid w:val="00154B7C"/>
    <w:rsid w:val="00155469"/>
    <w:rsid w:val="00157615"/>
    <w:rsid w:val="00160C9F"/>
    <w:rsid w:val="0016293B"/>
    <w:rsid w:val="001631C3"/>
    <w:rsid w:val="00163972"/>
    <w:rsid w:val="00163BAE"/>
    <w:rsid w:val="00163BC7"/>
    <w:rsid w:val="00166365"/>
    <w:rsid w:val="00170077"/>
    <w:rsid w:val="00171AA5"/>
    <w:rsid w:val="00172163"/>
    <w:rsid w:val="0017564A"/>
    <w:rsid w:val="00175982"/>
    <w:rsid w:val="00175D9D"/>
    <w:rsid w:val="00175FCB"/>
    <w:rsid w:val="001762DB"/>
    <w:rsid w:val="00176AA3"/>
    <w:rsid w:val="001771CB"/>
    <w:rsid w:val="00180051"/>
    <w:rsid w:val="00184116"/>
    <w:rsid w:val="00185FDB"/>
    <w:rsid w:val="00186B88"/>
    <w:rsid w:val="0019033E"/>
    <w:rsid w:val="0019068A"/>
    <w:rsid w:val="00191415"/>
    <w:rsid w:val="00191750"/>
    <w:rsid w:val="00191906"/>
    <w:rsid w:val="00192FE9"/>
    <w:rsid w:val="00194224"/>
    <w:rsid w:val="001A3965"/>
    <w:rsid w:val="001A418A"/>
    <w:rsid w:val="001A4673"/>
    <w:rsid w:val="001A4973"/>
    <w:rsid w:val="001A65E7"/>
    <w:rsid w:val="001B2C89"/>
    <w:rsid w:val="001B49E0"/>
    <w:rsid w:val="001B62E2"/>
    <w:rsid w:val="001C34CF"/>
    <w:rsid w:val="001C3596"/>
    <w:rsid w:val="001C780D"/>
    <w:rsid w:val="001C7A1F"/>
    <w:rsid w:val="001D0245"/>
    <w:rsid w:val="001D3C87"/>
    <w:rsid w:val="001D4B79"/>
    <w:rsid w:val="001D4F77"/>
    <w:rsid w:val="001D58DF"/>
    <w:rsid w:val="001D6D33"/>
    <w:rsid w:val="001E0EB0"/>
    <w:rsid w:val="001E47D7"/>
    <w:rsid w:val="001E5076"/>
    <w:rsid w:val="001E6ABD"/>
    <w:rsid w:val="001E7209"/>
    <w:rsid w:val="001E7F08"/>
    <w:rsid w:val="001F0ADB"/>
    <w:rsid w:val="001F50B5"/>
    <w:rsid w:val="001F71B3"/>
    <w:rsid w:val="001F7D9E"/>
    <w:rsid w:val="002004D2"/>
    <w:rsid w:val="00201299"/>
    <w:rsid w:val="00203692"/>
    <w:rsid w:val="00206680"/>
    <w:rsid w:val="00206793"/>
    <w:rsid w:val="00207011"/>
    <w:rsid w:val="0021379B"/>
    <w:rsid w:val="00217BB7"/>
    <w:rsid w:val="00217D21"/>
    <w:rsid w:val="00220029"/>
    <w:rsid w:val="002206CE"/>
    <w:rsid w:val="00220FEA"/>
    <w:rsid w:val="00221E35"/>
    <w:rsid w:val="00223601"/>
    <w:rsid w:val="002254C4"/>
    <w:rsid w:val="00226043"/>
    <w:rsid w:val="002274D9"/>
    <w:rsid w:val="0023042C"/>
    <w:rsid w:val="00231311"/>
    <w:rsid w:val="002321BF"/>
    <w:rsid w:val="00235DEF"/>
    <w:rsid w:val="00236064"/>
    <w:rsid w:val="00240EDB"/>
    <w:rsid w:val="002441D8"/>
    <w:rsid w:val="002467B5"/>
    <w:rsid w:val="00254453"/>
    <w:rsid w:val="002608C4"/>
    <w:rsid w:val="00260B75"/>
    <w:rsid w:val="00260F32"/>
    <w:rsid w:val="002626A4"/>
    <w:rsid w:val="0026334B"/>
    <w:rsid w:val="00264C4E"/>
    <w:rsid w:val="00266017"/>
    <w:rsid w:val="0026616A"/>
    <w:rsid w:val="00266418"/>
    <w:rsid w:val="002726B2"/>
    <w:rsid w:val="00272A85"/>
    <w:rsid w:val="00272DB5"/>
    <w:rsid w:val="0028183D"/>
    <w:rsid w:val="00281B96"/>
    <w:rsid w:val="00281C9C"/>
    <w:rsid w:val="00282615"/>
    <w:rsid w:val="00283794"/>
    <w:rsid w:val="00284F27"/>
    <w:rsid w:val="00290433"/>
    <w:rsid w:val="002911A6"/>
    <w:rsid w:val="00291782"/>
    <w:rsid w:val="002917DC"/>
    <w:rsid w:val="00291F17"/>
    <w:rsid w:val="00294878"/>
    <w:rsid w:val="0029523C"/>
    <w:rsid w:val="00296824"/>
    <w:rsid w:val="00297119"/>
    <w:rsid w:val="0029759F"/>
    <w:rsid w:val="00297ACC"/>
    <w:rsid w:val="002A1AFC"/>
    <w:rsid w:val="002A3A32"/>
    <w:rsid w:val="002A4A65"/>
    <w:rsid w:val="002A5555"/>
    <w:rsid w:val="002A66A4"/>
    <w:rsid w:val="002A7861"/>
    <w:rsid w:val="002B1A78"/>
    <w:rsid w:val="002B45ED"/>
    <w:rsid w:val="002C05B6"/>
    <w:rsid w:val="002C1B60"/>
    <w:rsid w:val="002C3DCF"/>
    <w:rsid w:val="002C4CBF"/>
    <w:rsid w:val="002C616D"/>
    <w:rsid w:val="002C7A46"/>
    <w:rsid w:val="002D005F"/>
    <w:rsid w:val="002D0886"/>
    <w:rsid w:val="002D156C"/>
    <w:rsid w:val="002D1FDE"/>
    <w:rsid w:val="002D4FFC"/>
    <w:rsid w:val="002D6918"/>
    <w:rsid w:val="002E0A53"/>
    <w:rsid w:val="002E193A"/>
    <w:rsid w:val="002E25F5"/>
    <w:rsid w:val="002E3412"/>
    <w:rsid w:val="002E4010"/>
    <w:rsid w:val="002E5A5E"/>
    <w:rsid w:val="002F5C7A"/>
    <w:rsid w:val="002F66A6"/>
    <w:rsid w:val="00301608"/>
    <w:rsid w:val="003025DC"/>
    <w:rsid w:val="00303280"/>
    <w:rsid w:val="003038DA"/>
    <w:rsid w:val="00303A72"/>
    <w:rsid w:val="00306745"/>
    <w:rsid w:val="00306C6D"/>
    <w:rsid w:val="00306F06"/>
    <w:rsid w:val="00307067"/>
    <w:rsid w:val="0031062B"/>
    <w:rsid w:val="003112D8"/>
    <w:rsid w:val="00313BF6"/>
    <w:rsid w:val="003151D0"/>
    <w:rsid w:val="00315474"/>
    <w:rsid w:val="0031612C"/>
    <w:rsid w:val="003165B6"/>
    <w:rsid w:val="00317BB5"/>
    <w:rsid w:val="00325BBD"/>
    <w:rsid w:val="00325DF6"/>
    <w:rsid w:val="0032762A"/>
    <w:rsid w:val="00331DF1"/>
    <w:rsid w:val="00340AC1"/>
    <w:rsid w:val="00342EF1"/>
    <w:rsid w:val="003451FA"/>
    <w:rsid w:val="003460B1"/>
    <w:rsid w:val="00347D09"/>
    <w:rsid w:val="00351335"/>
    <w:rsid w:val="0035265F"/>
    <w:rsid w:val="003529E7"/>
    <w:rsid w:val="00354655"/>
    <w:rsid w:val="0035738D"/>
    <w:rsid w:val="00357BFB"/>
    <w:rsid w:val="00362DE4"/>
    <w:rsid w:val="0036309D"/>
    <w:rsid w:val="0036575D"/>
    <w:rsid w:val="00365961"/>
    <w:rsid w:val="00365C2E"/>
    <w:rsid w:val="00365F9A"/>
    <w:rsid w:val="00366D9B"/>
    <w:rsid w:val="00373770"/>
    <w:rsid w:val="003742ED"/>
    <w:rsid w:val="0037620C"/>
    <w:rsid w:val="003763AD"/>
    <w:rsid w:val="0037653C"/>
    <w:rsid w:val="00381F86"/>
    <w:rsid w:val="003838B9"/>
    <w:rsid w:val="00387437"/>
    <w:rsid w:val="00395DDB"/>
    <w:rsid w:val="003A3647"/>
    <w:rsid w:val="003A57BA"/>
    <w:rsid w:val="003B0950"/>
    <w:rsid w:val="003B1B6C"/>
    <w:rsid w:val="003B1D2F"/>
    <w:rsid w:val="003B31E3"/>
    <w:rsid w:val="003B3698"/>
    <w:rsid w:val="003B3CF7"/>
    <w:rsid w:val="003B62DC"/>
    <w:rsid w:val="003C14FC"/>
    <w:rsid w:val="003C35E2"/>
    <w:rsid w:val="003C382F"/>
    <w:rsid w:val="003C38A5"/>
    <w:rsid w:val="003C3F74"/>
    <w:rsid w:val="003D2612"/>
    <w:rsid w:val="003D3178"/>
    <w:rsid w:val="003D534F"/>
    <w:rsid w:val="003D6A5B"/>
    <w:rsid w:val="003D72DE"/>
    <w:rsid w:val="003E0A18"/>
    <w:rsid w:val="003E357E"/>
    <w:rsid w:val="003E6CB2"/>
    <w:rsid w:val="003F7546"/>
    <w:rsid w:val="00402236"/>
    <w:rsid w:val="00415007"/>
    <w:rsid w:val="00415421"/>
    <w:rsid w:val="00416374"/>
    <w:rsid w:val="004168A7"/>
    <w:rsid w:val="0041720A"/>
    <w:rsid w:val="00420DC8"/>
    <w:rsid w:val="00421900"/>
    <w:rsid w:val="00422125"/>
    <w:rsid w:val="004261A5"/>
    <w:rsid w:val="0043002B"/>
    <w:rsid w:val="004330AA"/>
    <w:rsid w:val="00435B23"/>
    <w:rsid w:val="00436C76"/>
    <w:rsid w:val="004375B0"/>
    <w:rsid w:val="00442DC1"/>
    <w:rsid w:val="00444D9F"/>
    <w:rsid w:val="00446782"/>
    <w:rsid w:val="00446D51"/>
    <w:rsid w:val="00446F82"/>
    <w:rsid w:val="00450354"/>
    <w:rsid w:val="00454B3E"/>
    <w:rsid w:val="00457905"/>
    <w:rsid w:val="004613AD"/>
    <w:rsid w:val="00464AA5"/>
    <w:rsid w:val="00464FCC"/>
    <w:rsid w:val="00465CC6"/>
    <w:rsid w:val="00466065"/>
    <w:rsid w:val="00466AE4"/>
    <w:rsid w:val="00470AB6"/>
    <w:rsid w:val="00475B7C"/>
    <w:rsid w:val="00477BE0"/>
    <w:rsid w:val="0048211A"/>
    <w:rsid w:val="00482517"/>
    <w:rsid w:val="004828F9"/>
    <w:rsid w:val="00485315"/>
    <w:rsid w:val="004911D6"/>
    <w:rsid w:val="0049171A"/>
    <w:rsid w:val="00492A83"/>
    <w:rsid w:val="00497105"/>
    <w:rsid w:val="0049761C"/>
    <w:rsid w:val="004A24CE"/>
    <w:rsid w:val="004A29F3"/>
    <w:rsid w:val="004A3041"/>
    <w:rsid w:val="004A3134"/>
    <w:rsid w:val="004A4A73"/>
    <w:rsid w:val="004A4F24"/>
    <w:rsid w:val="004A6DBC"/>
    <w:rsid w:val="004B12B9"/>
    <w:rsid w:val="004B2BB7"/>
    <w:rsid w:val="004B5700"/>
    <w:rsid w:val="004B5796"/>
    <w:rsid w:val="004C2A9F"/>
    <w:rsid w:val="004C313A"/>
    <w:rsid w:val="004C3DBA"/>
    <w:rsid w:val="004C40F4"/>
    <w:rsid w:val="004C4B9E"/>
    <w:rsid w:val="004C600E"/>
    <w:rsid w:val="004C61FB"/>
    <w:rsid w:val="004C6E13"/>
    <w:rsid w:val="004D10E5"/>
    <w:rsid w:val="004D175E"/>
    <w:rsid w:val="004D1ABA"/>
    <w:rsid w:val="004D23DF"/>
    <w:rsid w:val="004D6C7D"/>
    <w:rsid w:val="004E1447"/>
    <w:rsid w:val="004E1517"/>
    <w:rsid w:val="004E496C"/>
    <w:rsid w:val="004E6880"/>
    <w:rsid w:val="004E761A"/>
    <w:rsid w:val="004F024E"/>
    <w:rsid w:val="004F3A85"/>
    <w:rsid w:val="004F4447"/>
    <w:rsid w:val="005005F4"/>
    <w:rsid w:val="005006DE"/>
    <w:rsid w:val="0050115B"/>
    <w:rsid w:val="00504DEF"/>
    <w:rsid w:val="00505ED1"/>
    <w:rsid w:val="005066FA"/>
    <w:rsid w:val="00510155"/>
    <w:rsid w:val="00510A1C"/>
    <w:rsid w:val="0051270E"/>
    <w:rsid w:val="00513A88"/>
    <w:rsid w:val="00516953"/>
    <w:rsid w:val="00520C05"/>
    <w:rsid w:val="0052129D"/>
    <w:rsid w:val="005214D3"/>
    <w:rsid w:val="005242B4"/>
    <w:rsid w:val="00531529"/>
    <w:rsid w:val="00532F6C"/>
    <w:rsid w:val="00533A91"/>
    <w:rsid w:val="00534BF3"/>
    <w:rsid w:val="005353B2"/>
    <w:rsid w:val="00536C25"/>
    <w:rsid w:val="0054031C"/>
    <w:rsid w:val="00540324"/>
    <w:rsid w:val="00542CCA"/>
    <w:rsid w:val="00543C89"/>
    <w:rsid w:val="005453FC"/>
    <w:rsid w:val="005466C7"/>
    <w:rsid w:val="0055223C"/>
    <w:rsid w:val="00554FB2"/>
    <w:rsid w:val="00556DA7"/>
    <w:rsid w:val="00561CD2"/>
    <w:rsid w:val="00561CE1"/>
    <w:rsid w:val="00561F2C"/>
    <w:rsid w:val="00563F71"/>
    <w:rsid w:val="005640C5"/>
    <w:rsid w:val="005662EA"/>
    <w:rsid w:val="005732A7"/>
    <w:rsid w:val="00575429"/>
    <w:rsid w:val="00577B25"/>
    <w:rsid w:val="0058094D"/>
    <w:rsid w:val="00580D38"/>
    <w:rsid w:val="0058411D"/>
    <w:rsid w:val="00584B54"/>
    <w:rsid w:val="00587196"/>
    <w:rsid w:val="00587D6B"/>
    <w:rsid w:val="00592717"/>
    <w:rsid w:val="00592FEF"/>
    <w:rsid w:val="0059422F"/>
    <w:rsid w:val="00594DC8"/>
    <w:rsid w:val="00594FDC"/>
    <w:rsid w:val="005976CC"/>
    <w:rsid w:val="005A193C"/>
    <w:rsid w:val="005A2E2F"/>
    <w:rsid w:val="005A2FF5"/>
    <w:rsid w:val="005B1403"/>
    <w:rsid w:val="005B52EF"/>
    <w:rsid w:val="005B62CE"/>
    <w:rsid w:val="005C58C3"/>
    <w:rsid w:val="005D0D18"/>
    <w:rsid w:val="005D15BE"/>
    <w:rsid w:val="005D390A"/>
    <w:rsid w:val="005D47C3"/>
    <w:rsid w:val="005D5027"/>
    <w:rsid w:val="005D65AD"/>
    <w:rsid w:val="005D6B0D"/>
    <w:rsid w:val="005E04D8"/>
    <w:rsid w:val="005E7AA6"/>
    <w:rsid w:val="005E7FE8"/>
    <w:rsid w:val="005F1244"/>
    <w:rsid w:val="005F17F8"/>
    <w:rsid w:val="005F42CE"/>
    <w:rsid w:val="005F56A5"/>
    <w:rsid w:val="005F571E"/>
    <w:rsid w:val="005F6C0D"/>
    <w:rsid w:val="005F6F96"/>
    <w:rsid w:val="005F7D51"/>
    <w:rsid w:val="00603938"/>
    <w:rsid w:val="0060458F"/>
    <w:rsid w:val="006060EE"/>
    <w:rsid w:val="006067A6"/>
    <w:rsid w:val="00607B6A"/>
    <w:rsid w:val="0061160F"/>
    <w:rsid w:val="00614F9C"/>
    <w:rsid w:val="00616468"/>
    <w:rsid w:val="00620613"/>
    <w:rsid w:val="00620A4D"/>
    <w:rsid w:val="00624BB3"/>
    <w:rsid w:val="00627BD5"/>
    <w:rsid w:val="0063067F"/>
    <w:rsid w:val="00631608"/>
    <w:rsid w:val="00633764"/>
    <w:rsid w:val="0063622C"/>
    <w:rsid w:val="00636968"/>
    <w:rsid w:val="006372B3"/>
    <w:rsid w:val="006412C4"/>
    <w:rsid w:val="0065008B"/>
    <w:rsid w:val="006517C1"/>
    <w:rsid w:val="006562FB"/>
    <w:rsid w:val="00663452"/>
    <w:rsid w:val="00663B02"/>
    <w:rsid w:val="00664E46"/>
    <w:rsid w:val="00665397"/>
    <w:rsid w:val="006659E3"/>
    <w:rsid w:val="006702A6"/>
    <w:rsid w:val="0067070F"/>
    <w:rsid w:val="00672C98"/>
    <w:rsid w:val="00673242"/>
    <w:rsid w:val="00675C65"/>
    <w:rsid w:val="00676081"/>
    <w:rsid w:val="006773E9"/>
    <w:rsid w:val="006775E2"/>
    <w:rsid w:val="006775F2"/>
    <w:rsid w:val="00681F4F"/>
    <w:rsid w:val="006903CC"/>
    <w:rsid w:val="00692098"/>
    <w:rsid w:val="00692288"/>
    <w:rsid w:val="00693023"/>
    <w:rsid w:val="0069444E"/>
    <w:rsid w:val="00696A11"/>
    <w:rsid w:val="006A0107"/>
    <w:rsid w:val="006A0D9D"/>
    <w:rsid w:val="006A6A68"/>
    <w:rsid w:val="006A73B1"/>
    <w:rsid w:val="006B01B7"/>
    <w:rsid w:val="006B1958"/>
    <w:rsid w:val="006B2ACC"/>
    <w:rsid w:val="006B778A"/>
    <w:rsid w:val="006B7C81"/>
    <w:rsid w:val="006C1797"/>
    <w:rsid w:val="006C19CB"/>
    <w:rsid w:val="006C6843"/>
    <w:rsid w:val="006C6962"/>
    <w:rsid w:val="006D049F"/>
    <w:rsid w:val="006D0BFE"/>
    <w:rsid w:val="006D12CC"/>
    <w:rsid w:val="006D2EBE"/>
    <w:rsid w:val="006D4294"/>
    <w:rsid w:val="006D6479"/>
    <w:rsid w:val="006D6B09"/>
    <w:rsid w:val="006D72A0"/>
    <w:rsid w:val="006E3347"/>
    <w:rsid w:val="006E41E0"/>
    <w:rsid w:val="006E51F4"/>
    <w:rsid w:val="006E7110"/>
    <w:rsid w:val="006F5FE8"/>
    <w:rsid w:val="006F6A1D"/>
    <w:rsid w:val="006F7A06"/>
    <w:rsid w:val="006F7C99"/>
    <w:rsid w:val="006F7D3B"/>
    <w:rsid w:val="00702316"/>
    <w:rsid w:val="007050A5"/>
    <w:rsid w:val="00707277"/>
    <w:rsid w:val="00713EE9"/>
    <w:rsid w:val="00714A7F"/>
    <w:rsid w:val="00716056"/>
    <w:rsid w:val="00716C07"/>
    <w:rsid w:val="007200F5"/>
    <w:rsid w:val="007308E9"/>
    <w:rsid w:val="007324B0"/>
    <w:rsid w:val="00733BCE"/>
    <w:rsid w:val="0074067D"/>
    <w:rsid w:val="00740B88"/>
    <w:rsid w:val="00743B99"/>
    <w:rsid w:val="007477FD"/>
    <w:rsid w:val="0075506A"/>
    <w:rsid w:val="00760835"/>
    <w:rsid w:val="00764C7D"/>
    <w:rsid w:val="00766031"/>
    <w:rsid w:val="007730A4"/>
    <w:rsid w:val="007825D3"/>
    <w:rsid w:val="0078350D"/>
    <w:rsid w:val="00785BAA"/>
    <w:rsid w:val="00786ADC"/>
    <w:rsid w:val="00787179"/>
    <w:rsid w:val="00796956"/>
    <w:rsid w:val="00796B5E"/>
    <w:rsid w:val="007973FC"/>
    <w:rsid w:val="007A0A10"/>
    <w:rsid w:val="007A1702"/>
    <w:rsid w:val="007A4E37"/>
    <w:rsid w:val="007A731A"/>
    <w:rsid w:val="007B0D71"/>
    <w:rsid w:val="007B31B4"/>
    <w:rsid w:val="007B3D4B"/>
    <w:rsid w:val="007B5BE7"/>
    <w:rsid w:val="007C5762"/>
    <w:rsid w:val="007C64BD"/>
    <w:rsid w:val="007C6DD0"/>
    <w:rsid w:val="007D14A0"/>
    <w:rsid w:val="007D1CAF"/>
    <w:rsid w:val="007D2C83"/>
    <w:rsid w:val="007D379B"/>
    <w:rsid w:val="007D5154"/>
    <w:rsid w:val="007D6F41"/>
    <w:rsid w:val="007E190F"/>
    <w:rsid w:val="007E1F42"/>
    <w:rsid w:val="007E29A7"/>
    <w:rsid w:val="007E2EA7"/>
    <w:rsid w:val="007E40F9"/>
    <w:rsid w:val="007E4141"/>
    <w:rsid w:val="007E4A75"/>
    <w:rsid w:val="007E6345"/>
    <w:rsid w:val="007E6CAB"/>
    <w:rsid w:val="007E7BE2"/>
    <w:rsid w:val="007F026A"/>
    <w:rsid w:val="007F0FCE"/>
    <w:rsid w:val="007F203D"/>
    <w:rsid w:val="007F5B7B"/>
    <w:rsid w:val="007F6A05"/>
    <w:rsid w:val="007F6DD8"/>
    <w:rsid w:val="007F7789"/>
    <w:rsid w:val="00802AF7"/>
    <w:rsid w:val="00810D02"/>
    <w:rsid w:val="00812049"/>
    <w:rsid w:val="00813CB8"/>
    <w:rsid w:val="00814902"/>
    <w:rsid w:val="00815380"/>
    <w:rsid w:val="00822114"/>
    <w:rsid w:val="00822FE5"/>
    <w:rsid w:val="00823B83"/>
    <w:rsid w:val="00826264"/>
    <w:rsid w:val="00827EE2"/>
    <w:rsid w:val="00831FFD"/>
    <w:rsid w:val="008323A2"/>
    <w:rsid w:val="00835098"/>
    <w:rsid w:val="00840DAD"/>
    <w:rsid w:val="008413D4"/>
    <w:rsid w:val="00841C6B"/>
    <w:rsid w:val="00842488"/>
    <w:rsid w:val="00852910"/>
    <w:rsid w:val="008612CC"/>
    <w:rsid w:val="00862779"/>
    <w:rsid w:val="00862C46"/>
    <w:rsid w:val="0086354A"/>
    <w:rsid w:val="00863EA9"/>
    <w:rsid w:val="00864315"/>
    <w:rsid w:val="00865EF8"/>
    <w:rsid w:val="00867530"/>
    <w:rsid w:val="00870478"/>
    <w:rsid w:val="008710AC"/>
    <w:rsid w:val="00872E1E"/>
    <w:rsid w:val="008731A0"/>
    <w:rsid w:val="00874CC8"/>
    <w:rsid w:val="0087582B"/>
    <w:rsid w:val="00881A5A"/>
    <w:rsid w:val="00881E15"/>
    <w:rsid w:val="00884F57"/>
    <w:rsid w:val="008854E8"/>
    <w:rsid w:val="00886745"/>
    <w:rsid w:val="008872C4"/>
    <w:rsid w:val="00890E12"/>
    <w:rsid w:val="0089195E"/>
    <w:rsid w:val="00892C1C"/>
    <w:rsid w:val="008A0EC8"/>
    <w:rsid w:val="008A1954"/>
    <w:rsid w:val="008A3CA7"/>
    <w:rsid w:val="008A4F0C"/>
    <w:rsid w:val="008A5251"/>
    <w:rsid w:val="008A582B"/>
    <w:rsid w:val="008A5EB7"/>
    <w:rsid w:val="008B077A"/>
    <w:rsid w:val="008B5F21"/>
    <w:rsid w:val="008C0BC2"/>
    <w:rsid w:val="008C49CD"/>
    <w:rsid w:val="008C7590"/>
    <w:rsid w:val="008D0477"/>
    <w:rsid w:val="008D1212"/>
    <w:rsid w:val="008D3B83"/>
    <w:rsid w:val="008D6A56"/>
    <w:rsid w:val="008D6BE5"/>
    <w:rsid w:val="008D6CAB"/>
    <w:rsid w:val="008D7DC9"/>
    <w:rsid w:val="008E1EDE"/>
    <w:rsid w:val="008E2138"/>
    <w:rsid w:val="008E39F9"/>
    <w:rsid w:val="008F0271"/>
    <w:rsid w:val="008F0E41"/>
    <w:rsid w:val="008F3B76"/>
    <w:rsid w:val="008F5562"/>
    <w:rsid w:val="008F5E3F"/>
    <w:rsid w:val="00901DC9"/>
    <w:rsid w:val="00903034"/>
    <w:rsid w:val="00904EC4"/>
    <w:rsid w:val="00905DB9"/>
    <w:rsid w:val="00906E62"/>
    <w:rsid w:val="0090707D"/>
    <w:rsid w:val="00911238"/>
    <w:rsid w:val="009116E1"/>
    <w:rsid w:val="009119B9"/>
    <w:rsid w:val="00911E73"/>
    <w:rsid w:val="00912C24"/>
    <w:rsid w:val="009151F9"/>
    <w:rsid w:val="00916525"/>
    <w:rsid w:val="009179A2"/>
    <w:rsid w:val="00917C55"/>
    <w:rsid w:val="0092025B"/>
    <w:rsid w:val="00920FD5"/>
    <w:rsid w:val="009216D2"/>
    <w:rsid w:val="00921BDB"/>
    <w:rsid w:val="0092205A"/>
    <w:rsid w:val="0092640B"/>
    <w:rsid w:val="00926ADB"/>
    <w:rsid w:val="00934894"/>
    <w:rsid w:val="00936530"/>
    <w:rsid w:val="00937E74"/>
    <w:rsid w:val="00940CD3"/>
    <w:rsid w:val="00942DA8"/>
    <w:rsid w:val="00943169"/>
    <w:rsid w:val="009432EF"/>
    <w:rsid w:val="00945490"/>
    <w:rsid w:val="009504B1"/>
    <w:rsid w:val="00951C52"/>
    <w:rsid w:val="009521B4"/>
    <w:rsid w:val="0095474E"/>
    <w:rsid w:val="00960D1C"/>
    <w:rsid w:val="00962648"/>
    <w:rsid w:val="0097147C"/>
    <w:rsid w:val="0097371B"/>
    <w:rsid w:val="009739F7"/>
    <w:rsid w:val="0097572A"/>
    <w:rsid w:val="00975D23"/>
    <w:rsid w:val="009832A9"/>
    <w:rsid w:val="009854F2"/>
    <w:rsid w:val="00991AB2"/>
    <w:rsid w:val="00991AF8"/>
    <w:rsid w:val="00993139"/>
    <w:rsid w:val="009A17F5"/>
    <w:rsid w:val="009A3BAC"/>
    <w:rsid w:val="009A4BD7"/>
    <w:rsid w:val="009A55C0"/>
    <w:rsid w:val="009A605B"/>
    <w:rsid w:val="009A62BB"/>
    <w:rsid w:val="009B03E3"/>
    <w:rsid w:val="009B0AB8"/>
    <w:rsid w:val="009B133E"/>
    <w:rsid w:val="009B1C5D"/>
    <w:rsid w:val="009B25D7"/>
    <w:rsid w:val="009B2F3F"/>
    <w:rsid w:val="009B3F43"/>
    <w:rsid w:val="009B3F91"/>
    <w:rsid w:val="009B45BC"/>
    <w:rsid w:val="009B544D"/>
    <w:rsid w:val="009B6D9F"/>
    <w:rsid w:val="009C1EE9"/>
    <w:rsid w:val="009C20C3"/>
    <w:rsid w:val="009C4346"/>
    <w:rsid w:val="009C5CE1"/>
    <w:rsid w:val="009D2BF8"/>
    <w:rsid w:val="009D3411"/>
    <w:rsid w:val="009D37C2"/>
    <w:rsid w:val="009D4397"/>
    <w:rsid w:val="009D47C7"/>
    <w:rsid w:val="009D6285"/>
    <w:rsid w:val="009D6410"/>
    <w:rsid w:val="009E12EC"/>
    <w:rsid w:val="009E284A"/>
    <w:rsid w:val="009E343D"/>
    <w:rsid w:val="009E3B90"/>
    <w:rsid w:val="009E491C"/>
    <w:rsid w:val="009E6339"/>
    <w:rsid w:val="009E7902"/>
    <w:rsid w:val="009F261F"/>
    <w:rsid w:val="009F4522"/>
    <w:rsid w:val="009F7225"/>
    <w:rsid w:val="009F7EDD"/>
    <w:rsid w:val="00A01BDB"/>
    <w:rsid w:val="00A072EC"/>
    <w:rsid w:val="00A11A46"/>
    <w:rsid w:val="00A12079"/>
    <w:rsid w:val="00A15430"/>
    <w:rsid w:val="00A15C57"/>
    <w:rsid w:val="00A1718D"/>
    <w:rsid w:val="00A201F2"/>
    <w:rsid w:val="00A2067D"/>
    <w:rsid w:val="00A225DA"/>
    <w:rsid w:val="00A22EE3"/>
    <w:rsid w:val="00A242D1"/>
    <w:rsid w:val="00A278A1"/>
    <w:rsid w:val="00A32A59"/>
    <w:rsid w:val="00A32E9C"/>
    <w:rsid w:val="00A3522C"/>
    <w:rsid w:val="00A367BE"/>
    <w:rsid w:val="00A36960"/>
    <w:rsid w:val="00A37420"/>
    <w:rsid w:val="00A37A86"/>
    <w:rsid w:val="00A41B85"/>
    <w:rsid w:val="00A4244F"/>
    <w:rsid w:val="00A45DDD"/>
    <w:rsid w:val="00A46DF0"/>
    <w:rsid w:val="00A505B3"/>
    <w:rsid w:val="00A51256"/>
    <w:rsid w:val="00A53C20"/>
    <w:rsid w:val="00A56E65"/>
    <w:rsid w:val="00A61572"/>
    <w:rsid w:val="00A63278"/>
    <w:rsid w:val="00A63978"/>
    <w:rsid w:val="00A65CAA"/>
    <w:rsid w:val="00A65EAE"/>
    <w:rsid w:val="00A66466"/>
    <w:rsid w:val="00A66ABE"/>
    <w:rsid w:val="00A67F1A"/>
    <w:rsid w:val="00A70FD8"/>
    <w:rsid w:val="00A72550"/>
    <w:rsid w:val="00A805A0"/>
    <w:rsid w:val="00A8366A"/>
    <w:rsid w:val="00A844DC"/>
    <w:rsid w:val="00A90405"/>
    <w:rsid w:val="00A90CDD"/>
    <w:rsid w:val="00A926F5"/>
    <w:rsid w:val="00A939B6"/>
    <w:rsid w:val="00A94871"/>
    <w:rsid w:val="00A96D67"/>
    <w:rsid w:val="00A976BB"/>
    <w:rsid w:val="00AA04C2"/>
    <w:rsid w:val="00AA3671"/>
    <w:rsid w:val="00AA3911"/>
    <w:rsid w:val="00AA3BB9"/>
    <w:rsid w:val="00AA5781"/>
    <w:rsid w:val="00AA6CF6"/>
    <w:rsid w:val="00AA7845"/>
    <w:rsid w:val="00AB01CD"/>
    <w:rsid w:val="00AB01DA"/>
    <w:rsid w:val="00AB049F"/>
    <w:rsid w:val="00AB1AD5"/>
    <w:rsid w:val="00AB44A9"/>
    <w:rsid w:val="00AB477B"/>
    <w:rsid w:val="00AB5288"/>
    <w:rsid w:val="00AB5F6C"/>
    <w:rsid w:val="00AB63A4"/>
    <w:rsid w:val="00AB645A"/>
    <w:rsid w:val="00AC0CE0"/>
    <w:rsid w:val="00AC1434"/>
    <w:rsid w:val="00AC199D"/>
    <w:rsid w:val="00AC447F"/>
    <w:rsid w:val="00AC4BC9"/>
    <w:rsid w:val="00AD2941"/>
    <w:rsid w:val="00AD2DAD"/>
    <w:rsid w:val="00AD45C8"/>
    <w:rsid w:val="00AE0860"/>
    <w:rsid w:val="00AE4E24"/>
    <w:rsid w:val="00AE5F52"/>
    <w:rsid w:val="00AF173F"/>
    <w:rsid w:val="00AF1B7A"/>
    <w:rsid w:val="00AF2BCA"/>
    <w:rsid w:val="00AF322A"/>
    <w:rsid w:val="00AF6353"/>
    <w:rsid w:val="00AF70A9"/>
    <w:rsid w:val="00B01DB8"/>
    <w:rsid w:val="00B02A19"/>
    <w:rsid w:val="00B02FD0"/>
    <w:rsid w:val="00B0422C"/>
    <w:rsid w:val="00B057ED"/>
    <w:rsid w:val="00B11121"/>
    <w:rsid w:val="00B12D58"/>
    <w:rsid w:val="00B15684"/>
    <w:rsid w:val="00B16251"/>
    <w:rsid w:val="00B16921"/>
    <w:rsid w:val="00B17362"/>
    <w:rsid w:val="00B175DE"/>
    <w:rsid w:val="00B20A53"/>
    <w:rsid w:val="00B22EE1"/>
    <w:rsid w:val="00B27B5E"/>
    <w:rsid w:val="00B34FD0"/>
    <w:rsid w:val="00B35354"/>
    <w:rsid w:val="00B3785A"/>
    <w:rsid w:val="00B41E62"/>
    <w:rsid w:val="00B438A5"/>
    <w:rsid w:val="00B44271"/>
    <w:rsid w:val="00B45D7F"/>
    <w:rsid w:val="00B45D8B"/>
    <w:rsid w:val="00B47392"/>
    <w:rsid w:val="00B5144D"/>
    <w:rsid w:val="00B54498"/>
    <w:rsid w:val="00B54A73"/>
    <w:rsid w:val="00B6472A"/>
    <w:rsid w:val="00B6609D"/>
    <w:rsid w:val="00B6798A"/>
    <w:rsid w:val="00B7177C"/>
    <w:rsid w:val="00B71C90"/>
    <w:rsid w:val="00B729E1"/>
    <w:rsid w:val="00B77C14"/>
    <w:rsid w:val="00B818CE"/>
    <w:rsid w:val="00B8324C"/>
    <w:rsid w:val="00B845C7"/>
    <w:rsid w:val="00B84A81"/>
    <w:rsid w:val="00B85987"/>
    <w:rsid w:val="00B907C1"/>
    <w:rsid w:val="00B91CC5"/>
    <w:rsid w:val="00B92B32"/>
    <w:rsid w:val="00B92CAD"/>
    <w:rsid w:val="00B932B4"/>
    <w:rsid w:val="00B946D4"/>
    <w:rsid w:val="00B948E0"/>
    <w:rsid w:val="00B94B4F"/>
    <w:rsid w:val="00BA00E3"/>
    <w:rsid w:val="00BA1493"/>
    <w:rsid w:val="00BA6086"/>
    <w:rsid w:val="00BA6B05"/>
    <w:rsid w:val="00BB1080"/>
    <w:rsid w:val="00BB1B15"/>
    <w:rsid w:val="00BB60DB"/>
    <w:rsid w:val="00BC1A0E"/>
    <w:rsid w:val="00BC24C4"/>
    <w:rsid w:val="00BC34C3"/>
    <w:rsid w:val="00BC3503"/>
    <w:rsid w:val="00BC772D"/>
    <w:rsid w:val="00BD4029"/>
    <w:rsid w:val="00BD4981"/>
    <w:rsid w:val="00BD6966"/>
    <w:rsid w:val="00BD6E5F"/>
    <w:rsid w:val="00BE105E"/>
    <w:rsid w:val="00BE11C0"/>
    <w:rsid w:val="00BE15C3"/>
    <w:rsid w:val="00BE2851"/>
    <w:rsid w:val="00BE3A33"/>
    <w:rsid w:val="00BE5889"/>
    <w:rsid w:val="00BE5B4E"/>
    <w:rsid w:val="00BF0336"/>
    <w:rsid w:val="00BF27D8"/>
    <w:rsid w:val="00BF3451"/>
    <w:rsid w:val="00BF50F8"/>
    <w:rsid w:val="00BF63E9"/>
    <w:rsid w:val="00BF66A8"/>
    <w:rsid w:val="00BF75F2"/>
    <w:rsid w:val="00C0007D"/>
    <w:rsid w:val="00C005A7"/>
    <w:rsid w:val="00C00C82"/>
    <w:rsid w:val="00C01FFC"/>
    <w:rsid w:val="00C05613"/>
    <w:rsid w:val="00C0573E"/>
    <w:rsid w:val="00C0751A"/>
    <w:rsid w:val="00C12484"/>
    <w:rsid w:val="00C2046D"/>
    <w:rsid w:val="00C20FB0"/>
    <w:rsid w:val="00C250C1"/>
    <w:rsid w:val="00C2637A"/>
    <w:rsid w:val="00C30558"/>
    <w:rsid w:val="00C32C77"/>
    <w:rsid w:val="00C33533"/>
    <w:rsid w:val="00C337DC"/>
    <w:rsid w:val="00C405F3"/>
    <w:rsid w:val="00C426F5"/>
    <w:rsid w:val="00C45FAF"/>
    <w:rsid w:val="00C46EE5"/>
    <w:rsid w:val="00C528DA"/>
    <w:rsid w:val="00C53797"/>
    <w:rsid w:val="00C538D0"/>
    <w:rsid w:val="00C545DA"/>
    <w:rsid w:val="00C55EE9"/>
    <w:rsid w:val="00C630E7"/>
    <w:rsid w:val="00C66E0C"/>
    <w:rsid w:val="00C67275"/>
    <w:rsid w:val="00C74675"/>
    <w:rsid w:val="00C77229"/>
    <w:rsid w:val="00C83576"/>
    <w:rsid w:val="00C83DB1"/>
    <w:rsid w:val="00C86E8F"/>
    <w:rsid w:val="00C87196"/>
    <w:rsid w:val="00C90FDE"/>
    <w:rsid w:val="00C931EF"/>
    <w:rsid w:val="00C93652"/>
    <w:rsid w:val="00C94731"/>
    <w:rsid w:val="00C95E88"/>
    <w:rsid w:val="00CA1006"/>
    <w:rsid w:val="00CA3BA6"/>
    <w:rsid w:val="00CA41C0"/>
    <w:rsid w:val="00CA772F"/>
    <w:rsid w:val="00CB396E"/>
    <w:rsid w:val="00CB584D"/>
    <w:rsid w:val="00CB58D9"/>
    <w:rsid w:val="00CB6253"/>
    <w:rsid w:val="00CB682B"/>
    <w:rsid w:val="00CB6885"/>
    <w:rsid w:val="00CB6DF4"/>
    <w:rsid w:val="00CC34BC"/>
    <w:rsid w:val="00CC4CB3"/>
    <w:rsid w:val="00CD2E0C"/>
    <w:rsid w:val="00CD4CD1"/>
    <w:rsid w:val="00CD6F29"/>
    <w:rsid w:val="00CE0614"/>
    <w:rsid w:val="00CE19DE"/>
    <w:rsid w:val="00CE504D"/>
    <w:rsid w:val="00CE621A"/>
    <w:rsid w:val="00CF101F"/>
    <w:rsid w:val="00CF2532"/>
    <w:rsid w:val="00CF39D7"/>
    <w:rsid w:val="00CF3C58"/>
    <w:rsid w:val="00CF557D"/>
    <w:rsid w:val="00CF5878"/>
    <w:rsid w:val="00D062F6"/>
    <w:rsid w:val="00D07A59"/>
    <w:rsid w:val="00D1143E"/>
    <w:rsid w:val="00D13B32"/>
    <w:rsid w:val="00D146FD"/>
    <w:rsid w:val="00D167E0"/>
    <w:rsid w:val="00D16D49"/>
    <w:rsid w:val="00D17C1F"/>
    <w:rsid w:val="00D218CB"/>
    <w:rsid w:val="00D22D5F"/>
    <w:rsid w:val="00D27047"/>
    <w:rsid w:val="00D317C7"/>
    <w:rsid w:val="00D36BE3"/>
    <w:rsid w:val="00D40090"/>
    <w:rsid w:val="00D4188F"/>
    <w:rsid w:val="00D43F66"/>
    <w:rsid w:val="00D46453"/>
    <w:rsid w:val="00D506B3"/>
    <w:rsid w:val="00D50851"/>
    <w:rsid w:val="00D60C19"/>
    <w:rsid w:val="00D62A89"/>
    <w:rsid w:val="00D62CF0"/>
    <w:rsid w:val="00D7383F"/>
    <w:rsid w:val="00D75713"/>
    <w:rsid w:val="00D76F2B"/>
    <w:rsid w:val="00D77BC0"/>
    <w:rsid w:val="00D8173F"/>
    <w:rsid w:val="00D829BD"/>
    <w:rsid w:val="00D86E67"/>
    <w:rsid w:val="00D8720A"/>
    <w:rsid w:val="00D87C83"/>
    <w:rsid w:val="00D90217"/>
    <w:rsid w:val="00D93DBB"/>
    <w:rsid w:val="00D94D54"/>
    <w:rsid w:val="00D958BD"/>
    <w:rsid w:val="00D95CC6"/>
    <w:rsid w:val="00D96142"/>
    <w:rsid w:val="00D97299"/>
    <w:rsid w:val="00DA074C"/>
    <w:rsid w:val="00DA2945"/>
    <w:rsid w:val="00DA77EE"/>
    <w:rsid w:val="00DB0548"/>
    <w:rsid w:val="00DB184D"/>
    <w:rsid w:val="00DB4B62"/>
    <w:rsid w:val="00DB5731"/>
    <w:rsid w:val="00DB5A30"/>
    <w:rsid w:val="00DB655F"/>
    <w:rsid w:val="00DB6EC5"/>
    <w:rsid w:val="00DB7E3F"/>
    <w:rsid w:val="00DC40C5"/>
    <w:rsid w:val="00DC563C"/>
    <w:rsid w:val="00DC5EEB"/>
    <w:rsid w:val="00DC6805"/>
    <w:rsid w:val="00DD11C6"/>
    <w:rsid w:val="00DD1A97"/>
    <w:rsid w:val="00DD1B3C"/>
    <w:rsid w:val="00DD2DF5"/>
    <w:rsid w:val="00DD702F"/>
    <w:rsid w:val="00DD72C7"/>
    <w:rsid w:val="00DE0213"/>
    <w:rsid w:val="00DE0763"/>
    <w:rsid w:val="00DE2EA0"/>
    <w:rsid w:val="00DE4C47"/>
    <w:rsid w:val="00DE4D96"/>
    <w:rsid w:val="00DE57C4"/>
    <w:rsid w:val="00DE594D"/>
    <w:rsid w:val="00DE717D"/>
    <w:rsid w:val="00DF294A"/>
    <w:rsid w:val="00DF29B5"/>
    <w:rsid w:val="00DF32DF"/>
    <w:rsid w:val="00DF459B"/>
    <w:rsid w:val="00DF5854"/>
    <w:rsid w:val="00DF73A5"/>
    <w:rsid w:val="00E01F95"/>
    <w:rsid w:val="00E04E9C"/>
    <w:rsid w:val="00E05E72"/>
    <w:rsid w:val="00E06EB8"/>
    <w:rsid w:val="00E1187C"/>
    <w:rsid w:val="00E13BB7"/>
    <w:rsid w:val="00E15E34"/>
    <w:rsid w:val="00E1726C"/>
    <w:rsid w:val="00E17F15"/>
    <w:rsid w:val="00E20FAE"/>
    <w:rsid w:val="00E23771"/>
    <w:rsid w:val="00E23ACA"/>
    <w:rsid w:val="00E2461C"/>
    <w:rsid w:val="00E2494C"/>
    <w:rsid w:val="00E27579"/>
    <w:rsid w:val="00E278F6"/>
    <w:rsid w:val="00E31571"/>
    <w:rsid w:val="00E31770"/>
    <w:rsid w:val="00E32202"/>
    <w:rsid w:val="00E3507F"/>
    <w:rsid w:val="00E354D3"/>
    <w:rsid w:val="00E35502"/>
    <w:rsid w:val="00E35F13"/>
    <w:rsid w:val="00E3694A"/>
    <w:rsid w:val="00E37365"/>
    <w:rsid w:val="00E37750"/>
    <w:rsid w:val="00E41B74"/>
    <w:rsid w:val="00E44863"/>
    <w:rsid w:val="00E449CC"/>
    <w:rsid w:val="00E45AD7"/>
    <w:rsid w:val="00E51B86"/>
    <w:rsid w:val="00E52B26"/>
    <w:rsid w:val="00E60086"/>
    <w:rsid w:val="00E6417D"/>
    <w:rsid w:val="00E73051"/>
    <w:rsid w:val="00E7563A"/>
    <w:rsid w:val="00E75D46"/>
    <w:rsid w:val="00E86F5A"/>
    <w:rsid w:val="00E90416"/>
    <w:rsid w:val="00E92415"/>
    <w:rsid w:val="00E96AE3"/>
    <w:rsid w:val="00EA199A"/>
    <w:rsid w:val="00EA3892"/>
    <w:rsid w:val="00EA5843"/>
    <w:rsid w:val="00EA78F5"/>
    <w:rsid w:val="00EB037C"/>
    <w:rsid w:val="00EB05AF"/>
    <w:rsid w:val="00EB1406"/>
    <w:rsid w:val="00EB28F2"/>
    <w:rsid w:val="00EB51AD"/>
    <w:rsid w:val="00EB5E08"/>
    <w:rsid w:val="00EB729E"/>
    <w:rsid w:val="00EB79F1"/>
    <w:rsid w:val="00EC206D"/>
    <w:rsid w:val="00EC3A17"/>
    <w:rsid w:val="00EC480D"/>
    <w:rsid w:val="00EC55AC"/>
    <w:rsid w:val="00EC7409"/>
    <w:rsid w:val="00EC7ECB"/>
    <w:rsid w:val="00ED3F9F"/>
    <w:rsid w:val="00ED48C8"/>
    <w:rsid w:val="00ED5F79"/>
    <w:rsid w:val="00EE2B5D"/>
    <w:rsid w:val="00EE2F2A"/>
    <w:rsid w:val="00EE4D7C"/>
    <w:rsid w:val="00EE7A9F"/>
    <w:rsid w:val="00EF1B1C"/>
    <w:rsid w:val="00EF2941"/>
    <w:rsid w:val="00EF4271"/>
    <w:rsid w:val="00EF4FF3"/>
    <w:rsid w:val="00EF5243"/>
    <w:rsid w:val="00EF7F89"/>
    <w:rsid w:val="00F00257"/>
    <w:rsid w:val="00F010E6"/>
    <w:rsid w:val="00F01453"/>
    <w:rsid w:val="00F03B06"/>
    <w:rsid w:val="00F13D5A"/>
    <w:rsid w:val="00F14B91"/>
    <w:rsid w:val="00F156BB"/>
    <w:rsid w:val="00F2092B"/>
    <w:rsid w:val="00F20E40"/>
    <w:rsid w:val="00F213E5"/>
    <w:rsid w:val="00F2575C"/>
    <w:rsid w:val="00F26CC3"/>
    <w:rsid w:val="00F26D84"/>
    <w:rsid w:val="00F274AC"/>
    <w:rsid w:val="00F31997"/>
    <w:rsid w:val="00F348EB"/>
    <w:rsid w:val="00F354BC"/>
    <w:rsid w:val="00F35E02"/>
    <w:rsid w:val="00F41061"/>
    <w:rsid w:val="00F432DD"/>
    <w:rsid w:val="00F436D9"/>
    <w:rsid w:val="00F52377"/>
    <w:rsid w:val="00F539E2"/>
    <w:rsid w:val="00F54702"/>
    <w:rsid w:val="00F55266"/>
    <w:rsid w:val="00F570A6"/>
    <w:rsid w:val="00F62CE6"/>
    <w:rsid w:val="00F63EDB"/>
    <w:rsid w:val="00F7014B"/>
    <w:rsid w:val="00F70B11"/>
    <w:rsid w:val="00F769F1"/>
    <w:rsid w:val="00F777EA"/>
    <w:rsid w:val="00F812D3"/>
    <w:rsid w:val="00F819B9"/>
    <w:rsid w:val="00F82FFF"/>
    <w:rsid w:val="00F836B6"/>
    <w:rsid w:val="00F8401A"/>
    <w:rsid w:val="00F84B7A"/>
    <w:rsid w:val="00F917F0"/>
    <w:rsid w:val="00F9193C"/>
    <w:rsid w:val="00F91EA9"/>
    <w:rsid w:val="00F956E4"/>
    <w:rsid w:val="00F9592B"/>
    <w:rsid w:val="00F95C58"/>
    <w:rsid w:val="00F95E47"/>
    <w:rsid w:val="00F963CE"/>
    <w:rsid w:val="00F96E0A"/>
    <w:rsid w:val="00FB1926"/>
    <w:rsid w:val="00FB3A44"/>
    <w:rsid w:val="00FB5A47"/>
    <w:rsid w:val="00FB65C9"/>
    <w:rsid w:val="00FB6923"/>
    <w:rsid w:val="00FB784A"/>
    <w:rsid w:val="00FC05B2"/>
    <w:rsid w:val="00FC070A"/>
    <w:rsid w:val="00FC2DAA"/>
    <w:rsid w:val="00FC4A7D"/>
    <w:rsid w:val="00FD431E"/>
    <w:rsid w:val="00FE02DE"/>
    <w:rsid w:val="00FE18F5"/>
    <w:rsid w:val="00FE271D"/>
    <w:rsid w:val="00FE6A99"/>
    <w:rsid w:val="00FF2282"/>
    <w:rsid w:val="00FF5E06"/>
    <w:rsid w:val="00FF695F"/>
    <w:rsid w:val="00FF7759"/>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79A2"/>
  </w:style>
  <w:style w:type="paragraph" w:styleId="1">
    <w:name w:val="heading 1"/>
    <w:basedOn w:val="a"/>
    <w:next w:val="a"/>
    <w:qFormat/>
    <w:rsid w:val="009179A2"/>
    <w:pPr>
      <w:keepNext/>
      <w:spacing w:line="360" w:lineRule="auto"/>
      <w:jc w:val="center"/>
      <w:outlineLvl w:val="0"/>
    </w:pPr>
    <w:rPr>
      <w:rFonts w:ascii="Arial" w:hAnsi="Arial" w:cs="Arial"/>
      <w:b/>
      <w:bCs/>
      <w:sz w:val="28"/>
    </w:rPr>
  </w:style>
  <w:style w:type="paragraph" w:styleId="2">
    <w:name w:val="heading 2"/>
    <w:basedOn w:val="a"/>
    <w:next w:val="a"/>
    <w:qFormat/>
    <w:rsid w:val="00415421"/>
    <w:pPr>
      <w:keepNext/>
      <w:jc w:val="center"/>
      <w:outlineLvl w:val="1"/>
    </w:pPr>
    <w:rPr>
      <w:rFonts w:ascii="Arial" w:hAnsi="Arial"/>
      <w:b/>
      <w:snapToGrid w:val="0"/>
      <w:color w:val="000000"/>
      <w:sz w:val="28"/>
    </w:rPr>
  </w:style>
  <w:style w:type="paragraph" w:styleId="3">
    <w:name w:val="heading 3"/>
    <w:basedOn w:val="a"/>
    <w:next w:val="a"/>
    <w:qFormat/>
    <w:rsid w:val="00415421"/>
    <w:pPr>
      <w:keepNext/>
      <w:jc w:val="both"/>
      <w:outlineLvl w:val="2"/>
    </w:pPr>
    <w:rPr>
      <w:rFonts w:ascii="Arial" w:hAnsi="Arial"/>
      <w:b/>
      <w:snapToGrid w:val="0"/>
      <w:color w:val="000000"/>
      <w:sz w:val="26"/>
      <w:u w:val="single"/>
    </w:rPr>
  </w:style>
  <w:style w:type="paragraph" w:styleId="4">
    <w:name w:val="heading 4"/>
    <w:basedOn w:val="a"/>
    <w:next w:val="a"/>
    <w:qFormat/>
    <w:rsid w:val="00415421"/>
    <w:pPr>
      <w:keepNext/>
      <w:jc w:val="both"/>
      <w:outlineLvl w:val="3"/>
    </w:pPr>
    <w:rPr>
      <w:rFonts w:ascii="Arial" w:hAnsi="Arial"/>
      <w:b/>
      <w:snapToGrid w:val="0"/>
      <w:color w:val="000000"/>
      <w:sz w:val="26"/>
    </w:rPr>
  </w:style>
  <w:style w:type="paragraph" w:styleId="5">
    <w:name w:val="heading 5"/>
    <w:basedOn w:val="a"/>
    <w:next w:val="a"/>
    <w:qFormat/>
    <w:rsid w:val="009179A2"/>
    <w:pPr>
      <w:keepNext/>
      <w:spacing w:line="360" w:lineRule="auto"/>
      <w:jc w:val="center"/>
      <w:outlineLvl w:val="4"/>
    </w:pPr>
    <w:rPr>
      <w:rFonts w:ascii="Arial" w:hAnsi="Arial" w:cs="Arial"/>
      <w:b/>
      <w:bCs/>
    </w:rPr>
  </w:style>
  <w:style w:type="paragraph" w:styleId="6">
    <w:name w:val="heading 6"/>
    <w:basedOn w:val="a"/>
    <w:next w:val="a"/>
    <w:qFormat/>
    <w:rsid w:val="00415421"/>
    <w:pPr>
      <w:keepNext/>
      <w:jc w:val="both"/>
      <w:outlineLvl w:val="5"/>
    </w:pPr>
    <w:rPr>
      <w:rFonts w:ascii="Arial" w:hAnsi="Arial"/>
      <w:b/>
      <w:snapToGrid w:val="0"/>
      <w:color w:val="000000"/>
      <w:sz w:val="24"/>
    </w:rPr>
  </w:style>
  <w:style w:type="paragraph" w:styleId="7">
    <w:name w:val="heading 7"/>
    <w:basedOn w:val="a"/>
    <w:next w:val="a"/>
    <w:qFormat/>
    <w:rsid w:val="009179A2"/>
    <w:pPr>
      <w:keepNext/>
      <w:spacing w:line="360" w:lineRule="auto"/>
      <w:jc w:val="center"/>
      <w:outlineLvl w:val="6"/>
    </w:pPr>
    <w:rPr>
      <w:rFonts w:ascii="Arial" w:hAnsi="Arial" w:cs="Arial"/>
      <w:b/>
    </w:rPr>
  </w:style>
  <w:style w:type="paragraph" w:styleId="8">
    <w:name w:val="heading 8"/>
    <w:basedOn w:val="a"/>
    <w:next w:val="a"/>
    <w:qFormat/>
    <w:rsid w:val="00415421"/>
    <w:pPr>
      <w:keepNext/>
      <w:outlineLvl w:val="7"/>
    </w:pPr>
    <w:rPr>
      <w:rFonts w:ascii="Arial" w:hAnsi="Arial"/>
      <w:b/>
      <w:snapToGrid w:val="0"/>
      <w:color w:val="000000"/>
      <w:sz w:val="28"/>
    </w:rPr>
  </w:style>
  <w:style w:type="paragraph" w:styleId="9">
    <w:name w:val="heading 9"/>
    <w:basedOn w:val="a"/>
    <w:next w:val="a"/>
    <w:qFormat/>
    <w:rsid w:val="00415421"/>
    <w:pPr>
      <w:keepNext/>
      <w:outlineLvl w:val="8"/>
    </w:pPr>
    <w:rPr>
      <w:rFonts w:ascii="Arial" w:hAnsi="Arial"/>
      <w:b/>
      <w:snapToGrid w:val="0"/>
      <w:color w:val="000000"/>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sid w:val="009179A2"/>
    <w:rPr>
      <w:vertAlign w:val="superscript"/>
    </w:rPr>
  </w:style>
  <w:style w:type="character" w:styleId="a4">
    <w:name w:val="annotation reference"/>
    <w:basedOn w:val="a0"/>
    <w:semiHidden/>
    <w:rsid w:val="009179A2"/>
    <w:rPr>
      <w:sz w:val="16"/>
    </w:rPr>
  </w:style>
  <w:style w:type="paragraph" w:styleId="a5">
    <w:name w:val="footnote text"/>
    <w:basedOn w:val="a"/>
    <w:semiHidden/>
    <w:rsid w:val="009179A2"/>
  </w:style>
  <w:style w:type="paragraph" w:styleId="a6">
    <w:name w:val="Body Text"/>
    <w:basedOn w:val="a"/>
    <w:rsid w:val="009179A2"/>
    <w:pPr>
      <w:jc w:val="both"/>
    </w:pPr>
    <w:rPr>
      <w:rFonts w:ascii="Arial" w:hAnsi="Arial"/>
      <w:sz w:val="24"/>
      <w:lang w:val="en-GB"/>
    </w:rPr>
  </w:style>
  <w:style w:type="paragraph" w:styleId="20">
    <w:name w:val="Body Text 2"/>
    <w:basedOn w:val="a"/>
    <w:rsid w:val="009179A2"/>
    <w:pPr>
      <w:spacing w:line="360" w:lineRule="auto"/>
      <w:jc w:val="both"/>
    </w:pPr>
    <w:rPr>
      <w:rFonts w:ascii="Arial" w:hAnsi="Arial" w:cs="Arial"/>
      <w:sz w:val="22"/>
    </w:rPr>
  </w:style>
  <w:style w:type="paragraph" w:styleId="a7">
    <w:name w:val="Body Text Indent"/>
    <w:basedOn w:val="a"/>
    <w:rsid w:val="009179A2"/>
    <w:pPr>
      <w:spacing w:line="360" w:lineRule="auto"/>
      <w:ind w:firstLine="720"/>
      <w:jc w:val="both"/>
    </w:pPr>
    <w:rPr>
      <w:rFonts w:ascii="Arial" w:hAnsi="Arial" w:cs="Arial"/>
      <w:sz w:val="22"/>
    </w:rPr>
  </w:style>
  <w:style w:type="paragraph" w:styleId="30">
    <w:name w:val="Body Text Indent 3"/>
    <w:basedOn w:val="a"/>
    <w:rsid w:val="009179A2"/>
    <w:pPr>
      <w:spacing w:line="360" w:lineRule="auto"/>
      <w:ind w:firstLine="709"/>
      <w:jc w:val="both"/>
    </w:pPr>
    <w:rPr>
      <w:rFonts w:ascii="Arial" w:hAnsi="Arial"/>
      <w:sz w:val="22"/>
    </w:rPr>
  </w:style>
  <w:style w:type="paragraph" w:styleId="a8">
    <w:name w:val="header"/>
    <w:basedOn w:val="a"/>
    <w:rsid w:val="009179A2"/>
    <w:pPr>
      <w:tabs>
        <w:tab w:val="center" w:pos="4153"/>
        <w:tab w:val="right" w:pos="8306"/>
      </w:tabs>
    </w:pPr>
  </w:style>
  <w:style w:type="paragraph" w:styleId="a9">
    <w:name w:val="footer"/>
    <w:basedOn w:val="a"/>
    <w:link w:val="Char"/>
    <w:uiPriority w:val="99"/>
    <w:rsid w:val="009179A2"/>
    <w:pPr>
      <w:tabs>
        <w:tab w:val="center" w:pos="4153"/>
        <w:tab w:val="right" w:pos="8306"/>
      </w:tabs>
    </w:pPr>
  </w:style>
  <w:style w:type="character" w:styleId="aa">
    <w:name w:val="page number"/>
    <w:basedOn w:val="a0"/>
    <w:rsid w:val="009179A2"/>
  </w:style>
  <w:style w:type="paragraph" w:customStyle="1" w:styleId="CharCharCharCharChar">
    <w:name w:val="Char Char Char Char Char"/>
    <w:basedOn w:val="a"/>
    <w:rsid w:val="00AA3671"/>
    <w:pPr>
      <w:autoSpaceDE w:val="0"/>
      <w:autoSpaceDN w:val="0"/>
      <w:adjustRightInd w:val="0"/>
      <w:spacing w:after="160" w:line="240" w:lineRule="exact"/>
    </w:pPr>
    <w:rPr>
      <w:rFonts w:ascii="Verdana" w:hAnsi="Verdana"/>
      <w:lang w:val="en-US" w:eastAsia="en-US"/>
    </w:rPr>
  </w:style>
  <w:style w:type="paragraph" w:styleId="21">
    <w:name w:val="Body Text Indent 2"/>
    <w:basedOn w:val="a"/>
    <w:rsid w:val="00415421"/>
    <w:pPr>
      <w:ind w:firstLine="708"/>
      <w:jc w:val="both"/>
    </w:pPr>
    <w:rPr>
      <w:rFonts w:ascii="Arial" w:hAnsi="Arial"/>
      <w:sz w:val="24"/>
    </w:rPr>
  </w:style>
  <w:style w:type="paragraph" w:styleId="31">
    <w:name w:val="Body Text 3"/>
    <w:basedOn w:val="a"/>
    <w:rsid w:val="00415421"/>
    <w:pPr>
      <w:jc w:val="both"/>
    </w:pPr>
    <w:rPr>
      <w:rFonts w:ascii="MS Sans Serif" w:hAnsi="MS Sans Serif"/>
      <w:b/>
      <w:sz w:val="26"/>
    </w:rPr>
  </w:style>
  <w:style w:type="table" w:styleId="ab">
    <w:name w:val="Table Grid"/>
    <w:basedOn w:val="a1"/>
    <w:rsid w:val="0041542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Char0"/>
    <w:rsid w:val="00185FDB"/>
    <w:rPr>
      <w:rFonts w:ascii="Tahoma" w:hAnsi="Tahoma" w:cs="Tahoma"/>
      <w:sz w:val="16"/>
      <w:szCs w:val="16"/>
    </w:rPr>
  </w:style>
  <w:style w:type="character" w:customStyle="1" w:styleId="Char0">
    <w:name w:val="Κείμενο πλαισίου Char"/>
    <w:basedOn w:val="a0"/>
    <w:link w:val="ac"/>
    <w:rsid w:val="00185FDB"/>
    <w:rPr>
      <w:rFonts w:ascii="Tahoma" w:hAnsi="Tahoma" w:cs="Tahoma"/>
      <w:sz w:val="16"/>
      <w:szCs w:val="16"/>
    </w:rPr>
  </w:style>
  <w:style w:type="character" w:customStyle="1" w:styleId="Char">
    <w:name w:val="Υποσέλιδο Char"/>
    <w:basedOn w:val="a0"/>
    <w:link w:val="a9"/>
    <w:uiPriority w:val="99"/>
    <w:rsid w:val="00254453"/>
  </w:style>
  <w:style w:type="paragraph" w:styleId="ad">
    <w:name w:val="List Paragraph"/>
    <w:basedOn w:val="a"/>
    <w:uiPriority w:val="34"/>
    <w:qFormat/>
    <w:rsid w:val="005E7FE8"/>
    <w:pPr>
      <w:ind w:left="720"/>
      <w:contextualSpacing/>
    </w:pPr>
  </w:style>
  <w:style w:type="character" w:styleId="-">
    <w:name w:val="Hyperlink"/>
    <w:basedOn w:val="a0"/>
    <w:uiPriority w:val="99"/>
    <w:unhideWhenUsed/>
    <w:rsid w:val="00001B57"/>
    <w:rPr>
      <w:color w:val="0000FF"/>
      <w:u w:val="single"/>
    </w:rPr>
  </w:style>
  <w:style w:type="character" w:styleId="-0">
    <w:name w:val="FollowedHyperlink"/>
    <w:basedOn w:val="a0"/>
    <w:uiPriority w:val="99"/>
    <w:unhideWhenUsed/>
    <w:rsid w:val="00001B57"/>
    <w:rPr>
      <w:color w:val="800080"/>
      <w:u w:val="single"/>
    </w:rPr>
  </w:style>
  <w:style w:type="paragraph" w:customStyle="1" w:styleId="xl63">
    <w:name w:val="xl63"/>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4">
    <w:name w:val="xl64"/>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5">
    <w:name w:val="xl65"/>
    <w:basedOn w:val="a"/>
    <w:rsid w:val="00001B57"/>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6">
    <w:name w:val="xl66"/>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67">
    <w:name w:val="xl6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8">
    <w:name w:val="xl6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9">
    <w:name w:val="xl6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0">
    <w:name w:val="xl70"/>
    <w:basedOn w:val="a"/>
    <w:rsid w:val="00001B57"/>
    <w:pPr>
      <w:pBdr>
        <w:top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1">
    <w:name w:val="xl71"/>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72">
    <w:name w:val="xl72"/>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sz w:val="24"/>
      <w:szCs w:val="24"/>
    </w:rPr>
  </w:style>
  <w:style w:type="paragraph" w:customStyle="1" w:styleId="xl73">
    <w:name w:val="xl73"/>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4">
    <w:name w:val="xl74"/>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5">
    <w:name w:val="xl75"/>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6">
    <w:name w:val="xl76"/>
    <w:basedOn w:val="a"/>
    <w:rsid w:val="00001B57"/>
    <w:pPr>
      <w:pBdr>
        <w:top w:val="single" w:sz="4" w:space="0" w:color="auto"/>
        <w:left w:val="single" w:sz="4" w:space="0" w:color="auto"/>
        <w:right w:val="single" w:sz="4" w:space="0" w:color="auto"/>
      </w:pBdr>
      <w:spacing w:before="100" w:beforeAutospacing="1" w:after="100" w:afterAutospacing="1"/>
    </w:pPr>
    <w:rPr>
      <w:sz w:val="24"/>
      <w:szCs w:val="24"/>
    </w:rPr>
  </w:style>
  <w:style w:type="paragraph" w:customStyle="1" w:styleId="xl77">
    <w:name w:val="xl77"/>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78">
    <w:name w:val="xl78"/>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79">
    <w:name w:val="xl79"/>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pPr>
    <w:rPr>
      <w:b/>
      <w:bCs/>
      <w:sz w:val="24"/>
      <w:szCs w:val="24"/>
    </w:rPr>
  </w:style>
  <w:style w:type="paragraph" w:customStyle="1" w:styleId="xl80">
    <w:name w:val="xl80"/>
    <w:basedOn w:val="a"/>
    <w:rsid w:val="00001B57"/>
    <w:pPr>
      <w:pBdr>
        <w:top w:val="single" w:sz="4" w:space="0" w:color="auto"/>
        <w:left w:val="single" w:sz="4" w:space="0" w:color="auto"/>
        <w:bottom w:val="single" w:sz="4" w:space="0" w:color="auto"/>
        <w:right w:val="single" w:sz="4" w:space="0" w:color="auto"/>
      </w:pBdr>
      <w:spacing w:before="100" w:beforeAutospacing="1" w:after="100" w:afterAutospacing="1"/>
      <w:jc w:val="right"/>
    </w:pPr>
    <w:rPr>
      <w:b/>
      <w:bCs/>
      <w:sz w:val="24"/>
      <w:szCs w:val="24"/>
    </w:rPr>
  </w:style>
  <w:style w:type="paragraph" w:customStyle="1" w:styleId="xl82">
    <w:name w:val="xl82"/>
    <w:basedOn w:val="a"/>
    <w:rsid w:val="00001B57"/>
    <w:pPr>
      <w:spacing w:before="100" w:beforeAutospacing="1" w:after="100" w:afterAutospacing="1"/>
    </w:pPr>
    <w:rPr>
      <w:sz w:val="24"/>
      <w:szCs w:val="24"/>
    </w:rPr>
  </w:style>
  <w:style w:type="paragraph" w:customStyle="1" w:styleId="xl84">
    <w:name w:val="xl84"/>
    <w:basedOn w:val="a"/>
    <w:rsid w:val="00001B57"/>
    <w:pPr>
      <w:spacing w:before="100" w:beforeAutospacing="1" w:after="100" w:afterAutospacing="1"/>
      <w:jc w:val="right"/>
    </w:pPr>
    <w:rPr>
      <w:sz w:val="24"/>
      <w:szCs w:val="24"/>
    </w:rPr>
  </w:style>
  <w:style w:type="paragraph" w:customStyle="1" w:styleId="xl81">
    <w:name w:val="xl81"/>
    <w:basedOn w:val="a"/>
    <w:rsid w:val="00F7014B"/>
    <w:pPr>
      <w:spacing w:before="100" w:beforeAutospacing="1" w:after="100" w:afterAutospacing="1"/>
      <w:textAlignment w:val="top"/>
    </w:pPr>
    <w:rPr>
      <w:rFonts w:ascii="Calibri" w:hAnsi="Calibri" w:cs="Calibri"/>
      <w:b/>
      <w:bCs/>
      <w:sz w:val="24"/>
      <w:szCs w:val="24"/>
    </w:rPr>
  </w:style>
  <w:style w:type="paragraph" w:customStyle="1" w:styleId="xl83">
    <w:name w:val="xl83"/>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5">
    <w:name w:val="xl85"/>
    <w:basedOn w:val="a"/>
    <w:rsid w:val="00F7014B"/>
    <w:pPr>
      <w:spacing w:before="100" w:beforeAutospacing="1" w:after="100" w:afterAutospacing="1"/>
      <w:jc w:val="right"/>
      <w:textAlignment w:val="top"/>
    </w:pPr>
    <w:rPr>
      <w:rFonts w:ascii="Calibri" w:hAnsi="Calibri" w:cs="Calibri"/>
      <w:sz w:val="24"/>
      <w:szCs w:val="24"/>
    </w:rPr>
  </w:style>
  <w:style w:type="paragraph" w:customStyle="1" w:styleId="xl86">
    <w:name w:val="xl86"/>
    <w:basedOn w:val="a"/>
    <w:rsid w:val="00F7014B"/>
    <w:pPr>
      <w:spacing w:before="100" w:beforeAutospacing="1" w:after="100" w:afterAutospacing="1"/>
    </w:pPr>
    <w:rPr>
      <w:rFonts w:ascii="Calibri" w:hAnsi="Calibri" w:cs="Calibri"/>
      <w:sz w:val="16"/>
      <w:szCs w:val="16"/>
    </w:rPr>
  </w:style>
  <w:style w:type="paragraph" w:customStyle="1" w:styleId="xl87">
    <w:name w:val="xl87"/>
    <w:basedOn w:val="a"/>
    <w:rsid w:val="00F7014B"/>
    <w:pPr>
      <w:spacing w:before="100" w:beforeAutospacing="1" w:after="100" w:afterAutospacing="1"/>
    </w:pPr>
    <w:rPr>
      <w:rFonts w:ascii="Calibri" w:hAnsi="Calibri" w:cs="Calibri"/>
      <w:sz w:val="24"/>
      <w:szCs w:val="24"/>
    </w:rPr>
  </w:style>
  <w:style w:type="paragraph" w:customStyle="1" w:styleId="xl88">
    <w:name w:val="xl88"/>
    <w:basedOn w:val="a"/>
    <w:rsid w:val="00F7014B"/>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89">
    <w:name w:val="xl89"/>
    <w:basedOn w:val="a"/>
    <w:rsid w:val="00F7014B"/>
    <w:pPr>
      <w:pBdr>
        <w:top w:val="single" w:sz="4" w:space="0" w:color="auto"/>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90">
    <w:name w:val="xl90"/>
    <w:basedOn w:val="a"/>
    <w:rsid w:val="00F7014B"/>
    <w:pPr>
      <w:pBdr>
        <w:top w:val="single" w:sz="4" w:space="0" w:color="auto"/>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 w:type="paragraph" w:customStyle="1" w:styleId="xl91">
    <w:name w:val="xl91"/>
    <w:basedOn w:val="a"/>
    <w:rsid w:val="00F7014B"/>
    <w:pPr>
      <w:spacing w:before="100" w:beforeAutospacing="1" w:after="100" w:afterAutospacing="1"/>
    </w:pPr>
    <w:rPr>
      <w:rFonts w:ascii="Calibri" w:hAnsi="Calibri" w:cs="Calibri"/>
      <w:sz w:val="24"/>
      <w:szCs w:val="24"/>
    </w:rPr>
  </w:style>
  <w:style w:type="paragraph" w:customStyle="1" w:styleId="xl92">
    <w:name w:val="xl92"/>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sz w:val="24"/>
      <w:szCs w:val="24"/>
    </w:rPr>
  </w:style>
  <w:style w:type="paragraph" w:customStyle="1" w:styleId="xl93">
    <w:name w:val="xl93"/>
    <w:basedOn w:val="a"/>
    <w:rsid w:val="00F7014B"/>
    <w:pPr>
      <w:spacing w:before="100" w:beforeAutospacing="1" w:after="100" w:afterAutospacing="1"/>
      <w:textAlignment w:val="top"/>
    </w:pPr>
    <w:rPr>
      <w:rFonts w:ascii="Calibri" w:hAnsi="Calibri" w:cs="Calibri"/>
      <w:sz w:val="24"/>
      <w:szCs w:val="24"/>
    </w:rPr>
  </w:style>
  <w:style w:type="paragraph" w:customStyle="1" w:styleId="xl94">
    <w:name w:val="xl94"/>
    <w:basedOn w:val="a"/>
    <w:rsid w:val="00F7014B"/>
    <w:pPr>
      <w:pBdr>
        <w:top w:val="single" w:sz="4" w:space="0" w:color="auto"/>
        <w:lef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5">
    <w:name w:val="xl95"/>
    <w:basedOn w:val="a"/>
    <w:rsid w:val="00F7014B"/>
    <w:pPr>
      <w:pBdr>
        <w:top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6">
    <w:name w:val="xl96"/>
    <w:basedOn w:val="a"/>
    <w:rsid w:val="00F7014B"/>
    <w:pPr>
      <w:pBdr>
        <w:left w:val="single" w:sz="4" w:space="0" w:color="auto"/>
        <w:bottom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7">
    <w:name w:val="xl97"/>
    <w:basedOn w:val="a"/>
    <w:rsid w:val="00F7014B"/>
    <w:pPr>
      <w:pBdr>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8">
    <w:name w:val="xl9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99">
    <w:name w:val="xl9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0">
    <w:name w:val="xl100"/>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1">
    <w:name w:val="xl101"/>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2">
    <w:name w:val="xl102"/>
    <w:basedOn w:val="a"/>
    <w:rsid w:val="00F7014B"/>
    <w:pPr>
      <w:spacing w:before="100" w:beforeAutospacing="1" w:after="100" w:afterAutospacing="1"/>
      <w:jc w:val="center"/>
      <w:textAlignment w:val="top"/>
    </w:pPr>
    <w:rPr>
      <w:rFonts w:ascii="Calibri" w:hAnsi="Calibri" w:cs="Calibri"/>
      <w:b/>
      <w:bCs/>
      <w:sz w:val="24"/>
      <w:szCs w:val="24"/>
    </w:rPr>
  </w:style>
  <w:style w:type="paragraph" w:customStyle="1" w:styleId="xl103">
    <w:name w:val="xl103"/>
    <w:basedOn w:val="a"/>
    <w:rsid w:val="00F7014B"/>
    <w:pPr>
      <w:pBdr>
        <w:top w:val="single" w:sz="4" w:space="0" w:color="auto"/>
        <w:left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4">
    <w:name w:val="xl104"/>
    <w:basedOn w:val="a"/>
    <w:rsid w:val="00F7014B"/>
    <w:pPr>
      <w:pBdr>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cs="Calibri"/>
      <w:b/>
      <w:bCs/>
      <w:sz w:val="24"/>
      <w:szCs w:val="24"/>
    </w:rPr>
  </w:style>
  <w:style w:type="paragraph" w:customStyle="1" w:styleId="xl105">
    <w:name w:val="xl105"/>
    <w:basedOn w:val="a"/>
    <w:rsid w:val="00F7014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6">
    <w:name w:val="xl106"/>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7">
    <w:name w:val="xl107"/>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8">
    <w:name w:val="xl108"/>
    <w:basedOn w:val="a"/>
    <w:rsid w:val="00F7014B"/>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09">
    <w:name w:val="xl109"/>
    <w:basedOn w:val="a"/>
    <w:rsid w:val="00F7014B"/>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cs="Calibri"/>
      <w:b/>
      <w:bCs/>
      <w:sz w:val="24"/>
      <w:szCs w:val="24"/>
    </w:rPr>
  </w:style>
  <w:style w:type="paragraph" w:customStyle="1" w:styleId="xl110">
    <w:name w:val="xl110"/>
    <w:basedOn w:val="a"/>
    <w:rsid w:val="00F7014B"/>
    <w:pPr>
      <w:spacing w:before="100" w:beforeAutospacing="1" w:after="100" w:afterAutospacing="1"/>
      <w:textAlignment w:val="top"/>
    </w:pPr>
    <w:rPr>
      <w:rFonts w:ascii="Calibri" w:hAnsi="Calibri" w:cs="Calibri"/>
      <w:sz w:val="24"/>
      <w:szCs w:val="24"/>
    </w:rPr>
  </w:style>
  <w:style w:type="paragraph" w:customStyle="1" w:styleId="xl111">
    <w:name w:val="xl111"/>
    <w:basedOn w:val="a"/>
    <w:rsid w:val="00F7014B"/>
    <w:pPr>
      <w:pBdr>
        <w:left w:val="single" w:sz="4" w:space="0" w:color="auto"/>
        <w:bottom w:val="single" w:sz="4" w:space="0" w:color="auto"/>
      </w:pBdr>
      <w:spacing w:before="100" w:beforeAutospacing="1" w:after="100" w:afterAutospacing="1"/>
      <w:textAlignment w:val="top"/>
    </w:pPr>
    <w:rPr>
      <w:rFonts w:ascii="Calibri" w:hAnsi="Calibri" w:cs="Calibri"/>
      <w:sz w:val="24"/>
      <w:szCs w:val="24"/>
    </w:rPr>
  </w:style>
  <w:style w:type="paragraph" w:customStyle="1" w:styleId="xl112">
    <w:name w:val="xl112"/>
    <w:basedOn w:val="a"/>
    <w:rsid w:val="00F7014B"/>
    <w:pPr>
      <w:pBdr>
        <w:bottom w:val="single" w:sz="4" w:space="0" w:color="auto"/>
        <w:right w:val="single" w:sz="4" w:space="0" w:color="auto"/>
      </w:pBdr>
      <w:spacing w:before="100" w:beforeAutospacing="1" w:after="100" w:afterAutospacing="1"/>
      <w:textAlignment w:val="top"/>
    </w:pPr>
    <w:rPr>
      <w:rFonts w:ascii="Calibri" w:hAnsi="Calibri" w:cs="Calibri"/>
      <w:sz w:val="24"/>
      <w:szCs w:val="24"/>
    </w:rPr>
  </w:style>
</w:styles>
</file>

<file path=word/webSettings.xml><?xml version="1.0" encoding="utf-8"?>
<w:webSettings xmlns:r="http://schemas.openxmlformats.org/officeDocument/2006/relationships" xmlns:w="http://schemas.openxmlformats.org/wordprocessingml/2006/main">
  <w:divs>
    <w:div w:id="19478060">
      <w:bodyDiv w:val="1"/>
      <w:marLeft w:val="0"/>
      <w:marRight w:val="0"/>
      <w:marTop w:val="0"/>
      <w:marBottom w:val="0"/>
      <w:divBdr>
        <w:top w:val="none" w:sz="0" w:space="0" w:color="auto"/>
        <w:left w:val="none" w:sz="0" w:space="0" w:color="auto"/>
        <w:bottom w:val="none" w:sz="0" w:space="0" w:color="auto"/>
        <w:right w:val="none" w:sz="0" w:space="0" w:color="auto"/>
      </w:divBdr>
    </w:div>
    <w:div w:id="35086925">
      <w:bodyDiv w:val="1"/>
      <w:marLeft w:val="0"/>
      <w:marRight w:val="0"/>
      <w:marTop w:val="0"/>
      <w:marBottom w:val="0"/>
      <w:divBdr>
        <w:top w:val="none" w:sz="0" w:space="0" w:color="auto"/>
        <w:left w:val="none" w:sz="0" w:space="0" w:color="auto"/>
        <w:bottom w:val="none" w:sz="0" w:space="0" w:color="auto"/>
        <w:right w:val="none" w:sz="0" w:space="0" w:color="auto"/>
      </w:divBdr>
    </w:div>
    <w:div w:id="48845602">
      <w:bodyDiv w:val="1"/>
      <w:marLeft w:val="0"/>
      <w:marRight w:val="0"/>
      <w:marTop w:val="0"/>
      <w:marBottom w:val="0"/>
      <w:divBdr>
        <w:top w:val="none" w:sz="0" w:space="0" w:color="auto"/>
        <w:left w:val="none" w:sz="0" w:space="0" w:color="auto"/>
        <w:bottom w:val="none" w:sz="0" w:space="0" w:color="auto"/>
        <w:right w:val="none" w:sz="0" w:space="0" w:color="auto"/>
      </w:divBdr>
    </w:div>
    <w:div w:id="53702136">
      <w:bodyDiv w:val="1"/>
      <w:marLeft w:val="0"/>
      <w:marRight w:val="0"/>
      <w:marTop w:val="0"/>
      <w:marBottom w:val="0"/>
      <w:divBdr>
        <w:top w:val="none" w:sz="0" w:space="0" w:color="auto"/>
        <w:left w:val="none" w:sz="0" w:space="0" w:color="auto"/>
        <w:bottom w:val="none" w:sz="0" w:space="0" w:color="auto"/>
        <w:right w:val="none" w:sz="0" w:space="0" w:color="auto"/>
      </w:divBdr>
    </w:div>
    <w:div w:id="69735890">
      <w:bodyDiv w:val="1"/>
      <w:marLeft w:val="0"/>
      <w:marRight w:val="0"/>
      <w:marTop w:val="0"/>
      <w:marBottom w:val="0"/>
      <w:divBdr>
        <w:top w:val="none" w:sz="0" w:space="0" w:color="auto"/>
        <w:left w:val="none" w:sz="0" w:space="0" w:color="auto"/>
        <w:bottom w:val="none" w:sz="0" w:space="0" w:color="auto"/>
        <w:right w:val="none" w:sz="0" w:space="0" w:color="auto"/>
      </w:divBdr>
    </w:div>
    <w:div w:id="79759678">
      <w:bodyDiv w:val="1"/>
      <w:marLeft w:val="0"/>
      <w:marRight w:val="0"/>
      <w:marTop w:val="0"/>
      <w:marBottom w:val="0"/>
      <w:divBdr>
        <w:top w:val="none" w:sz="0" w:space="0" w:color="auto"/>
        <w:left w:val="none" w:sz="0" w:space="0" w:color="auto"/>
        <w:bottom w:val="none" w:sz="0" w:space="0" w:color="auto"/>
        <w:right w:val="none" w:sz="0" w:space="0" w:color="auto"/>
      </w:divBdr>
    </w:div>
    <w:div w:id="116724935">
      <w:bodyDiv w:val="1"/>
      <w:marLeft w:val="0"/>
      <w:marRight w:val="0"/>
      <w:marTop w:val="0"/>
      <w:marBottom w:val="0"/>
      <w:divBdr>
        <w:top w:val="none" w:sz="0" w:space="0" w:color="auto"/>
        <w:left w:val="none" w:sz="0" w:space="0" w:color="auto"/>
        <w:bottom w:val="none" w:sz="0" w:space="0" w:color="auto"/>
        <w:right w:val="none" w:sz="0" w:space="0" w:color="auto"/>
      </w:divBdr>
    </w:div>
    <w:div w:id="126163349">
      <w:bodyDiv w:val="1"/>
      <w:marLeft w:val="0"/>
      <w:marRight w:val="0"/>
      <w:marTop w:val="0"/>
      <w:marBottom w:val="0"/>
      <w:divBdr>
        <w:top w:val="none" w:sz="0" w:space="0" w:color="auto"/>
        <w:left w:val="none" w:sz="0" w:space="0" w:color="auto"/>
        <w:bottom w:val="none" w:sz="0" w:space="0" w:color="auto"/>
        <w:right w:val="none" w:sz="0" w:space="0" w:color="auto"/>
      </w:divBdr>
    </w:div>
    <w:div w:id="136072884">
      <w:bodyDiv w:val="1"/>
      <w:marLeft w:val="0"/>
      <w:marRight w:val="0"/>
      <w:marTop w:val="0"/>
      <w:marBottom w:val="0"/>
      <w:divBdr>
        <w:top w:val="none" w:sz="0" w:space="0" w:color="auto"/>
        <w:left w:val="none" w:sz="0" w:space="0" w:color="auto"/>
        <w:bottom w:val="none" w:sz="0" w:space="0" w:color="auto"/>
        <w:right w:val="none" w:sz="0" w:space="0" w:color="auto"/>
      </w:divBdr>
    </w:div>
    <w:div w:id="139735176">
      <w:bodyDiv w:val="1"/>
      <w:marLeft w:val="0"/>
      <w:marRight w:val="0"/>
      <w:marTop w:val="0"/>
      <w:marBottom w:val="0"/>
      <w:divBdr>
        <w:top w:val="none" w:sz="0" w:space="0" w:color="auto"/>
        <w:left w:val="none" w:sz="0" w:space="0" w:color="auto"/>
        <w:bottom w:val="none" w:sz="0" w:space="0" w:color="auto"/>
        <w:right w:val="none" w:sz="0" w:space="0" w:color="auto"/>
      </w:divBdr>
    </w:div>
    <w:div w:id="183175408">
      <w:bodyDiv w:val="1"/>
      <w:marLeft w:val="0"/>
      <w:marRight w:val="0"/>
      <w:marTop w:val="0"/>
      <w:marBottom w:val="0"/>
      <w:divBdr>
        <w:top w:val="none" w:sz="0" w:space="0" w:color="auto"/>
        <w:left w:val="none" w:sz="0" w:space="0" w:color="auto"/>
        <w:bottom w:val="none" w:sz="0" w:space="0" w:color="auto"/>
        <w:right w:val="none" w:sz="0" w:space="0" w:color="auto"/>
      </w:divBdr>
    </w:div>
    <w:div w:id="216212627">
      <w:bodyDiv w:val="1"/>
      <w:marLeft w:val="0"/>
      <w:marRight w:val="0"/>
      <w:marTop w:val="0"/>
      <w:marBottom w:val="0"/>
      <w:divBdr>
        <w:top w:val="none" w:sz="0" w:space="0" w:color="auto"/>
        <w:left w:val="none" w:sz="0" w:space="0" w:color="auto"/>
        <w:bottom w:val="none" w:sz="0" w:space="0" w:color="auto"/>
        <w:right w:val="none" w:sz="0" w:space="0" w:color="auto"/>
      </w:divBdr>
    </w:div>
    <w:div w:id="245961882">
      <w:bodyDiv w:val="1"/>
      <w:marLeft w:val="0"/>
      <w:marRight w:val="0"/>
      <w:marTop w:val="0"/>
      <w:marBottom w:val="0"/>
      <w:divBdr>
        <w:top w:val="none" w:sz="0" w:space="0" w:color="auto"/>
        <w:left w:val="none" w:sz="0" w:space="0" w:color="auto"/>
        <w:bottom w:val="none" w:sz="0" w:space="0" w:color="auto"/>
        <w:right w:val="none" w:sz="0" w:space="0" w:color="auto"/>
      </w:divBdr>
    </w:div>
    <w:div w:id="263731661">
      <w:bodyDiv w:val="1"/>
      <w:marLeft w:val="0"/>
      <w:marRight w:val="0"/>
      <w:marTop w:val="0"/>
      <w:marBottom w:val="0"/>
      <w:divBdr>
        <w:top w:val="none" w:sz="0" w:space="0" w:color="auto"/>
        <w:left w:val="none" w:sz="0" w:space="0" w:color="auto"/>
        <w:bottom w:val="none" w:sz="0" w:space="0" w:color="auto"/>
        <w:right w:val="none" w:sz="0" w:space="0" w:color="auto"/>
      </w:divBdr>
    </w:div>
    <w:div w:id="291132716">
      <w:bodyDiv w:val="1"/>
      <w:marLeft w:val="0"/>
      <w:marRight w:val="0"/>
      <w:marTop w:val="0"/>
      <w:marBottom w:val="0"/>
      <w:divBdr>
        <w:top w:val="none" w:sz="0" w:space="0" w:color="auto"/>
        <w:left w:val="none" w:sz="0" w:space="0" w:color="auto"/>
        <w:bottom w:val="none" w:sz="0" w:space="0" w:color="auto"/>
        <w:right w:val="none" w:sz="0" w:space="0" w:color="auto"/>
      </w:divBdr>
    </w:div>
    <w:div w:id="305358520">
      <w:bodyDiv w:val="1"/>
      <w:marLeft w:val="0"/>
      <w:marRight w:val="0"/>
      <w:marTop w:val="0"/>
      <w:marBottom w:val="0"/>
      <w:divBdr>
        <w:top w:val="none" w:sz="0" w:space="0" w:color="auto"/>
        <w:left w:val="none" w:sz="0" w:space="0" w:color="auto"/>
        <w:bottom w:val="none" w:sz="0" w:space="0" w:color="auto"/>
        <w:right w:val="none" w:sz="0" w:space="0" w:color="auto"/>
      </w:divBdr>
    </w:div>
    <w:div w:id="338897960">
      <w:bodyDiv w:val="1"/>
      <w:marLeft w:val="0"/>
      <w:marRight w:val="0"/>
      <w:marTop w:val="0"/>
      <w:marBottom w:val="0"/>
      <w:divBdr>
        <w:top w:val="none" w:sz="0" w:space="0" w:color="auto"/>
        <w:left w:val="none" w:sz="0" w:space="0" w:color="auto"/>
        <w:bottom w:val="none" w:sz="0" w:space="0" w:color="auto"/>
        <w:right w:val="none" w:sz="0" w:space="0" w:color="auto"/>
      </w:divBdr>
    </w:div>
    <w:div w:id="368652585">
      <w:bodyDiv w:val="1"/>
      <w:marLeft w:val="0"/>
      <w:marRight w:val="0"/>
      <w:marTop w:val="0"/>
      <w:marBottom w:val="0"/>
      <w:divBdr>
        <w:top w:val="none" w:sz="0" w:space="0" w:color="auto"/>
        <w:left w:val="none" w:sz="0" w:space="0" w:color="auto"/>
        <w:bottom w:val="none" w:sz="0" w:space="0" w:color="auto"/>
        <w:right w:val="none" w:sz="0" w:space="0" w:color="auto"/>
      </w:divBdr>
    </w:div>
    <w:div w:id="377241206">
      <w:bodyDiv w:val="1"/>
      <w:marLeft w:val="0"/>
      <w:marRight w:val="0"/>
      <w:marTop w:val="0"/>
      <w:marBottom w:val="0"/>
      <w:divBdr>
        <w:top w:val="none" w:sz="0" w:space="0" w:color="auto"/>
        <w:left w:val="none" w:sz="0" w:space="0" w:color="auto"/>
        <w:bottom w:val="none" w:sz="0" w:space="0" w:color="auto"/>
        <w:right w:val="none" w:sz="0" w:space="0" w:color="auto"/>
      </w:divBdr>
    </w:div>
    <w:div w:id="377709147">
      <w:bodyDiv w:val="1"/>
      <w:marLeft w:val="0"/>
      <w:marRight w:val="0"/>
      <w:marTop w:val="0"/>
      <w:marBottom w:val="0"/>
      <w:divBdr>
        <w:top w:val="none" w:sz="0" w:space="0" w:color="auto"/>
        <w:left w:val="none" w:sz="0" w:space="0" w:color="auto"/>
        <w:bottom w:val="none" w:sz="0" w:space="0" w:color="auto"/>
        <w:right w:val="none" w:sz="0" w:space="0" w:color="auto"/>
      </w:divBdr>
    </w:div>
    <w:div w:id="428623582">
      <w:bodyDiv w:val="1"/>
      <w:marLeft w:val="0"/>
      <w:marRight w:val="0"/>
      <w:marTop w:val="0"/>
      <w:marBottom w:val="0"/>
      <w:divBdr>
        <w:top w:val="none" w:sz="0" w:space="0" w:color="auto"/>
        <w:left w:val="none" w:sz="0" w:space="0" w:color="auto"/>
        <w:bottom w:val="none" w:sz="0" w:space="0" w:color="auto"/>
        <w:right w:val="none" w:sz="0" w:space="0" w:color="auto"/>
      </w:divBdr>
    </w:div>
    <w:div w:id="430975068">
      <w:bodyDiv w:val="1"/>
      <w:marLeft w:val="0"/>
      <w:marRight w:val="0"/>
      <w:marTop w:val="0"/>
      <w:marBottom w:val="0"/>
      <w:divBdr>
        <w:top w:val="none" w:sz="0" w:space="0" w:color="auto"/>
        <w:left w:val="none" w:sz="0" w:space="0" w:color="auto"/>
        <w:bottom w:val="none" w:sz="0" w:space="0" w:color="auto"/>
        <w:right w:val="none" w:sz="0" w:space="0" w:color="auto"/>
      </w:divBdr>
    </w:div>
    <w:div w:id="441848259">
      <w:bodyDiv w:val="1"/>
      <w:marLeft w:val="0"/>
      <w:marRight w:val="0"/>
      <w:marTop w:val="0"/>
      <w:marBottom w:val="0"/>
      <w:divBdr>
        <w:top w:val="none" w:sz="0" w:space="0" w:color="auto"/>
        <w:left w:val="none" w:sz="0" w:space="0" w:color="auto"/>
        <w:bottom w:val="none" w:sz="0" w:space="0" w:color="auto"/>
        <w:right w:val="none" w:sz="0" w:space="0" w:color="auto"/>
      </w:divBdr>
    </w:div>
    <w:div w:id="473645999">
      <w:bodyDiv w:val="1"/>
      <w:marLeft w:val="0"/>
      <w:marRight w:val="0"/>
      <w:marTop w:val="0"/>
      <w:marBottom w:val="0"/>
      <w:divBdr>
        <w:top w:val="none" w:sz="0" w:space="0" w:color="auto"/>
        <w:left w:val="none" w:sz="0" w:space="0" w:color="auto"/>
        <w:bottom w:val="none" w:sz="0" w:space="0" w:color="auto"/>
        <w:right w:val="none" w:sz="0" w:space="0" w:color="auto"/>
      </w:divBdr>
    </w:div>
    <w:div w:id="491918288">
      <w:bodyDiv w:val="1"/>
      <w:marLeft w:val="0"/>
      <w:marRight w:val="0"/>
      <w:marTop w:val="0"/>
      <w:marBottom w:val="0"/>
      <w:divBdr>
        <w:top w:val="none" w:sz="0" w:space="0" w:color="auto"/>
        <w:left w:val="none" w:sz="0" w:space="0" w:color="auto"/>
        <w:bottom w:val="none" w:sz="0" w:space="0" w:color="auto"/>
        <w:right w:val="none" w:sz="0" w:space="0" w:color="auto"/>
      </w:divBdr>
    </w:div>
    <w:div w:id="495146205">
      <w:bodyDiv w:val="1"/>
      <w:marLeft w:val="0"/>
      <w:marRight w:val="0"/>
      <w:marTop w:val="0"/>
      <w:marBottom w:val="0"/>
      <w:divBdr>
        <w:top w:val="none" w:sz="0" w:space="0" w:color="auto"/>
        <w:left w:val="none" w:sz="0" w:space="0" w:color="auto"/>
        <w:bottom w:val="none" w:sz="0" w:space="0" w:color="auto"/>
        <w:right w:val="none" w:sz="0" w:space="0" w:color="auto"/>
      </w:divBdr>
    </w:div>
    <w:div w:id="508372236">
      <w:bodyDiv w:val="1"/>
      <w:marLeft w:val="0"/>
      <w:marRight w:val="0"/>
      <w:marTop w:val="0"/>
      <w:marBottom w:val="0"/>
      <w:divBdr>
        <w:top w:val="none" w:sz="0" w:space="0" w:color="auto"/>
        <w:left w:val="none" w:sz="0" w:space="0" w:color="auto"/>
        <w:bottom w:val="none" w:sz="0" w:space="0" w:color="auto"/>
        <w:right w:val="none" w:sz="0" w:space="0" w:color="auto"/>
      </w:divBdr>
    </w:div>
    <w:div w:id="552815982">
      <w:bodyDiv w:val="1"/>
      <w:marLeft w:val="0"/>
      <w:marRight w:val="0"/>
      <w:marTop w:val="0"/>
      <w:marBottom w:val="0"/>
      <w:divBdr>
        <w:top w:val="none" w:sz="0" w:space="0" w:color="auto"/>
        <w:left w:val="none" w:sz="0" w:space="0" w:color="auto"/>
        <w:bottom w:val="none" w:sz="0" w:space="0" w:color="auto"/>
        <w:right w:val="none" w:sz="0" w:space="0" w:color="auto"/>
      </w:divBdr>
    </w:div>
    <w:div w:id="562103000">
      <w:bodyDiv w:val="1"/>
      <w:marLeft w:val="0"/>
      <w:marRight w:val="0"/>
      <w:marTop w:val="0"/>
      <w:marBottom w:val="0"/>
      <w:divBdr>
        <w:top w:val="none" w:sz="0" w:space="0" w:color="auto"/>
        <w:left w:val="none" w:sz="0" w:space="0" w:color="auto"/>
        <w:bottom w:val="none" w:sz="0" w:space="0" w:color="auto"/>
        <w:right w:val="none" w:sz="0" w:space="0" w:color="auto"/>
      </w:divBdr>
    </w:div>
    <w:div w:id="563837690">
      <w:bodyDiv w:val="1"/>
      <w:marLeft w:val="0"/>
      <w:marRight w:val="0"/>
      <w:marTop w:val="0"/>
      <w:marBottom w:val="0"/>
      <w:divBdr>
        <w:top w:val="none" w:sz="0" w:space="0" w:color="auto"/>
        <w:left w:val="none" w:sz="0" w:space="0" w:color="auto"/>
        <w:bottom w:val="none" w:sz="0" w:space="0" w:color="auto"/>
        <w:right w:val="none" w:sz="0" w:space="0" w:color="auto"/>
      </w:divBdr>
    </w:div>
    <w:div w:id="565998090">
      <w:bodyDiv w:val="1"/>
      <w:marLeft w:val="0"/>
      <w:marRight w:val="0"/>
      <w:marTop w:val="0"/>
      <w:marBottom w:val="0"/>
      <w:divBdr>
        <w:top w:val="none" w:sz="0" w:space="0" w:color="auto"/>
        <w:left w:val="none" w:sz="0" w:space="0" w:color="auto"/>
        <w:bottom w:val="none" w:sz="0" w:space="0" w:color="auto"/>
        <w:right w:val="none" w:sz="0" w:space="0" w:color="auto"/>
      </w:divBdr>
    </w:div>
    <w:div w:id="580407082">
      <w:bodyDiv w:val="1"/>
      <w:marLeft w:val="0"/>
      <w:marRight w:val="0"/>
      <w:marTop w:val="0"/>
      <w:marBottom w:val="0"/>
      <w:divBdr>
        <w:top w:val="none" w:sz="0" w:space="0" w:color="auto"/>
        <w:left w:val="none" w:sz="0" w:space="0" w:color="auto"/>
        <w:bottom w:val="none" w:sz="0" w:space="0" w:color="auto"/>
        <w:right w:val="none" w:sz="0" w:space="0" w:color="auto"/>
      </w:divBdr>
    </w:div>
    <w:div w:id="598684791">
      <w:bodyDiv w:val="1"/>
      <w:marLeft w:val="0"/>
      <w:marRight w:val="0"/>
      <w:marTop w:val="0"/>
      <w:marBottom w:val="0"/>
      <w:divBdr>
        <w:top w:val="none" w:sz="0" w:space="0" w:color="auto"/>
        <w:left w:val="none" w:sz="0" w:space="0" w:color="auto"/>
        <w:bottom w:val="none" w:sz="0" w:space="0" w:color="auto"/>
        <w:right w:val="none" w:sz="0" w:space="0" w:color="auto"/>
      </w:divBdr>
    </w:div>
    <w:div w:id="618996700">
      <w:bodyDiv w:val="1"/>
      <w:marLeft w:val="0"/>
      <w:marRight w:val="0"/>
      <w:marTop w:val="0"/>
      <w:marBottom w:val="0"/>
      <w:divBdr>
        <w:top w:val="none" w:sz="0" w:space="0" w:color="auto"/>
        <w:left w:val="none" w:sz="0" w:space="0" w:color="auto"/>
        <w:bottom w:val="none" w:sz="0" w:space="0" w:color="auto"/>
        <w:right w:val="none" w:sz="0" w:space="0" w:color="auto"/>
      </w:divBdr>
    </w:div>
    <w:div w:id="625502957">
      <w:bodyDiv w:val="1"/>
      <w:marLeft w:val="0"/>
      <w:marRight w:val="0"/>
      <w:marTop w:val="0"/>
      <w:marBottom w:val="0"/>
      <w:divBdr>
        <w:top w:val="none" w:sz="0" w:space="0" w:color="auto"/>
        <w:left w:val="none" w:sz="0" w:space="0" w:color="auto"/>
        <w:bottom w:val="none" w:sz="0" w:space="0" w:color="auto"/>
        <w:right w:val="none" w:sz="0" w:space="0" w:color="auto"/>
      </w:divBdr>
    </w:div>
    <w:div w:id="630212274">
      <w:bodyDiv w:val="1"/>
      <w:marLeft w:val="0"/>
      <w:marRight w:val="0"/>
      <w:marTop w:val="0"/>
      <w:marBottom w:val="0"/>
      <w:divBdr>
        <w:top w:val="none" w:sz="0" w:space="0" w:color="auto"/>
        <w:left w:val="none" w:sz="0" w:space="0" w:color="auto"/>
        <w:bottom w:val="none" w:sz="0" w:space="0" w:color="auto"/>
        <w:right w:val="none" w:sz="0" w:space="0" w:color="auto"/>
      </w:divBdr>
    </w:div>
    <w:div w:id="653919519">
      <w:bodyDiv w:val="1"/>
      <w:marLeft w:val="0"/>
      <w:marRight w:val="0"/>
      <w:marTop w:val="0"/>
      <w:marBottom w:val="0"/>
      <w:divBdr>
        <w:top w:val="none" w:sz="0" w:space="0" w:color="auto"/>
        <w:left w:val="none" w:sz="0" w:space="0" w:color="auto"/>
        <w:bottom w:val="none" w:sz="0" w:space="0" w:color="auto"/>
        <w:right w:val="none" w:sz="0" w:space="0" w:color="auto"/>
      </w:divBdr>
    </w:div>
    <w:div w:id="688603890">
      <w:bodyDiv w:val="1"/>
      <w:marLeft w:val="0"/>
      <w:marRight w:val="0"/>
      <w:marTop w:val="0"/>
      <w:marBottom w:val="0"/>
      <w:divBdr>
        <w:top w:val="none" w:sz="0" w:space="0" w:color="auto"/>
        <w:left w:val="none" w:sz="0" w:space="0" w:color="auto"/>
        <w:bottom w:val="none" w:sz="0" w:space="0" w:color="auto"/>
        <w:right w:val="none" w:sz="0" w:space="0" w:color="auto"/>
      </w:divBdr>
    </w:div>
    <w:div w:id="690760258">
      <w:bodyDiv w:val="1"/>
      <w:marLeft w:val="0"/>
      <w:marRight w:val="0"/>
      <w:marTop w:val="0"/>
      <w:marBottom w:val="0"/>
      <w:divBdr>
        <w:top w:val="none" w:sz="0" w:space="0" w:color="auto"/>
        <w:left w:val="none" w:sz="0" w:space="0" w:color="auto"/>
        <w:bottom w:val="none" w:sz="0" w:space="0" w:color="auto"/>
        <w:right w:val="none" w:sz="0" w:space="0" w:color="auto"/>
      </w:divBdr>
    </w:div>
    <w:div w:id="708723137">
      <w:bodyDiv w:val="1"/>
      <w:marLeft w:val="0"/>
      <w:marRight w:val="0"/>
      <w:marTop w:val="0"/>
      <w:marBottom w:val="0"/>
      <w:divBdr>
        <w:top w:val="none" w:sz="0" w:space="0" w:color="auto"/>
        <w:left w:val="none" w:sz="0" w:space="0" w:color="auto"/>
        <w:bottom w:val="none" w:sz="0" w:space="0" w:color="auto"/>
        <w:right w:val="none" w:sz="0" w:space="0" w:color="auto"/>
      </w:divBdr>
    </w:div>
    <w:div w:id="748386779">
      <w:bodyDiv w:val="1"/>
      <w:marLeft w:val="0"/>
      <w:marRight w:val="0"/>
      <w:marTop w:val="0"/>
      <w:marBottom w:val="0"/>
      <w:divBdr>
        <w:top w:val="none" w:sz="0" w:space="0" w:color="auto"/>
        <w:left w:val="none" w:sz="0" w:space="0" w:color="auto"/>
        <w:bottom w:val="none" w:sz="0" w:space="0" w:color="auto"/>
        <w:right w:val="none" w:sz="0" w:space="0" w:color="auto"/>
      </w:divBdr>
    </w:div>
    <w:div w:id="759301128">
      <w:bodyDiv w:val="1"/>
      <w:marLeft w:val="0"/>
      <w:marRight w:val="0"/>
      <w:marTop w:val="0"/>
      <w:marBottom w:val="0"/>
      <w:divBdr>
        <w:top w:val="none" w:sz="0" w:space="0" w:color="auto"/>
        <w:left w:val="none" w:sz="0" w:space="0" w:color="auto"/>
        <w:bottom w:val="none" w:sz="0" w:space="0" w:color="auto"/>
        <w:right w:val="none" w:sz="0" w:space="0" w:color="auto"/>
      </w:divBdr>
    </w:div>
    <w:div w:id="764231026">
      <w:bodyDiv w:val="1"/>
      <w:marLeft w:val="0"/>
      <w:marRight w:val="0"/>
      <w:marTop w:val="0"/>
      <w:marBottom w:val="0"/>
      <w:divBdr>
        <w:top w:val="none" w:sz="0" w:space="0" w:color="auto"/>
        <w:left w:val="none" w:sz="0" w:space="0" w:color="auto"/>
        <w:bottom w:val="none" w:sz="0" w:space="0" w:color="auto"/>
        <w:right w:val="none" w:sz="0" w:space="0" w:color="auto"/>
      </w:divBdr>
    </w:div>
    <w:div w:id="764810149">
      <w:bodyDiv w:val="1"/>
      <w:marLeft w:val="0"/>
      <w:marRight w:val="0"/>
      <w:marTop w:val="0"/>
      <w:marBottom w:val="0"/>
      <w:divBdr>
        <w:top w:val="none" w:sz="0" w:space="0" w:color="auto"/>
        <w:left w:val="none" w:sz="0" w:space="0" w:color="auto"/>
        <w:bottom w:val="none" w:sz="0" w:space="0" w:color="auto"/>
        <w:right w:val="none" w:sz="0" w:space="0" w:color="auto"/>
      </w:divBdr>
    </w:div>
    <w:div w:id="770008483">
      <w:bodyDiv w:val="1"/>
      <w:marLeft w:val="0"/>
      <w:marRight w:val="0"/>
      <w:marTop w:val="0"/>
      <w:marBottom w:val="0"/>
      <w:divBdr>
        <w:top w:val="none" w:sz="0" w:space="0" w:color="auto"/>
        <w:left w:val="none" w:sz="0" w:space="0" w:color="auto"/>
        <w:bottom w:val="none" w:sz="0" w:space="0" w:color="auto"/>
        <w:right w:val="none" w:sz="0" w:space="0" w:color="auto"/>
      </w:divBdr>
    </w:div>
    <w:div w:id="771825815">
      <w:bodyDiv w:val="1"/>
      <w:marLeft w:val="0"/>
      <w:marRight w:val="0"/>
      <w:marTop w:val="0"/>
      <w:marBottom w:val="0"/>
      <w:divBdr>
        <w:top w:val="none" w:sz="0" w:space="0" w:color="auto"/>
        <w:left w:val="none" w:sz="0" w:space="0" w:color="auto"/>
        <w:bottom w:val="none" w:sz="0" w:space="0" w:color="auto"/>
        <w:right w:val="none" w:sz="0" w:space="0" w:color="auto"/>
      </w:divBdr>
    </w:div>
    <w:div w:id="783353235">
      <w:bodyDiv w:val="1"/>
      <w:marLeft w:val="0"/>
      <w:marRight w:val="0"/>
      <w:marTop w:val="0"/>
      <w:marBottom w:val="0"/>
      <w:divBdr>
        <w:top w:val="none" w:sz="0" w:space="0" w:color="auto"/>
        <w:left w:val="none" w:sz="0" w:space="0" w:color="auto"/>
        <w:bottom w:val="none" w:sz="0" w:space="0" w:color="auto"/>
        <w:right w:val="none" w:sz="0" w:space="0" w:color="auto"/>
      </w:divBdr>
    </w:div>
    <w:div w:id="800271121">
      <w:bodyDiv w:val="1"/>
      <w:marLeft w:val="0"/>
      <w:marRight w:val="0"/>
      <w:marTop w:val="0"/>
      <w:marBottom w:val="0"/>
      <w:divBdr>
        <w:top w:val="none" w:sz="0" w:space="0" w:color="auto"/>
        <w:left w:val="none" w:sz="0" w:space="0" w:color="auto"/>
        <w:bottom w:val="none" w:sz="0" w:space="0" w:color="auto"/>
        <w:right w:val="none" w:sz="0" w:space="0" w:color="auto"/>
      </w:divBdr>
    </w:div>
    <w:div w:id="850875745">
      <w:bodyDiv w:val="1"/>
      <w:marLeft w:val="0"/>
      <w:marRight w:val="0"/>
      <w:marTop w:val="0"/>
      <w:marBottom w:val="0"/>
      <w:divBdr>
        <w:top w:val="none" w:sz="0" w:space="0" w:color="auto"/>
        <w:left w:val="none" w:sz="0" w:space="0" w:color="auto"/>
        <w:bottom w:val="none" w:sz="0" w:space="0" w:color="auto"/>
        <w:right w:val="none" w:sz="0" w:space="0" w:color="auto"/>
      </w:divBdr>
    </w:div>
    <w:div w:id="858352152">
      <w:bodyDiv w:val="1"/>
      <w:marLeft w:val="0"/>
      <w:marRight w:val="0"/>
      <w:marTop w:val="0"/>
      <w:marBottom w:val="0"/>
      <w:divBdr>
        <w:top w:val="none" w:sz="0" w:space="0" w:color="auto"/>
        <w:left w:val="none" w:sz="0" w:space="0" w:color="auto"/>
        <w:bottom w:val="none" w:sz="0" w:space="0" w:color="auto"/>
        <w:right w:val="none" w:sz="0" w:space="0" w:color="auto"/>
      </w:divBdr>
    </w:div>
    <w:div w:id="858393528">
      <w:bodyDiv w:val="1"/>
      <w:marLeft w:val="0"/>
      <w:marRight w:val="0"/>
      <w:marTop w:val="0"/>
      <w:marBottom w:val="0"/>
      <w:divBdr>
        <w:top w:val="none" w:sz="0" w:space="0" w:color="auto"/>
        <w:left w:val="none" w:sz="0" w:space="0" w:color="auto"/>
        <w:bottom w:val="none" w:sz="0" w:space="0" w:color="auto"/>
        <w:right w:val="none" w:sz="0" w:space="0" w:color="auto"/>
      </w:divBdr>
    </w:div>
    <w:div w:id="885608030">
      <w:bodyDiv w:val="1"/>
      <w:marLeft w:val="0"/>
      <w:marRight w:val="0"/>
      <w:marTop w:val="0"/>
      <w:marBottom w:val="0"/>
      <w:divBdr>
        <w:top w:val="none" w:sz="0" w:space="0" w:color="auto"/>
        <w:left w:val="none" w:sz="0" w:space="0" w:color="auto"/>
        <w:bottom w:val="none" w:sz="0" w:space="0" w:color="auto"/>
        <w:right w:val="none" w:sz="0" w:space="0" w:color="auto"/>
      </w:divBdr>
    </w:div>
    <w:div w:id="886068637">
      <w:bodyDiv w:val="1"/>
      <w:marLeft w:val="0"/>
      <w:marRight w:val="0"/>
      <w:marTop w:val="0"/>
      <w:marBottom w:val="0"/>
      <w:divBdr>
        <w:top w:val="none" w:sz="0" w:space="0" w:color="auto"/>
        <w:left w:val="none" w:sz="0" w:space="0" w:color="auto"/>
        <w:bottom w:val="none" w:sz="0" w:space="0" w:color="auto"/>
        <w:right w:val="none" w:sz="0" w:space="0" w:color="auto"/>
      </w:divBdr>
    </w:div>
    <w:div w:id="886407044">
      <w:bodyDiv w:val="1"/>
      <w:marLeft w:val="0"/>
      <w:marRight w:val="0"/>
      <w:marTop w:val="0"/>
      <w:marBottom w:val="0"/>
      <w:divBdr>
        <w:top w:val="none" w:sz="0" w:space="0" w:color="auto"/>
        <w:left w:val="none" w:sz="0" w:space="0" w:color="auto"/>
        <w:bottom w:val="none" w:sz="0" w:space="0" w:color="auto"/>
        <w:right w:val="none" w:sz="0" w:space="0" w:color="auto"/>
      </w:divBdr>
    </w:div>
    <w:div w:id="889851896">
      <w:bodyDiv w:val="1"/>
      <w:marLeft w:val="0"/>
      <w:marRight w:val="0"/>
      <w:marTop w:val="0"/>
      <w:marBottom w:val="0"/>
      <w:divBdr>
        <w:top w:val="none" w:sz="0" w:space="0" w:color="auto"/>
        <w:left w:val="none" w:sz="0" w:space="0" w:color="auto"/>
        <w:bottom w:val="none" w:sz="0" w:space="0" w:color="auto"/>
        <w:right w:val="none" w:sz="0" w:space="0" w:color="auto"/>
      </w:divBdr>
    </w:div>
    <w:div w:id="896091622">
      <w:bodyDiv w:val="1"/>
      <w:marLeft w:val="0"/>
      <w:marRight w:val="0"/>
      <w:marTop w:val="0"/>
      <w:marBottom w:val="0"/>
      <w:divBdr>
        <w:top w:val="none" w:sz="0" w:space="0" w:color="auto"/>
        <w:left w:val="none" w:sz="0" w:space="0" w:color="auto"/>
        <w:bottom w:val="none" w:sz="0" w:space="0" w:color="auto"/>
        <w:right w:val="none" w:sz="0" w:space="0" w:color="auto"/>
      </w:divBdr>
    </w:div>
    <w:div w:id="926381781">
      <w:bodyDiv w:val="1"/>
      <w:marLeft w:val="0"/>
      <w:marRight w:val="0"/>
      <w:marTop w:val="0"/>
      <w:marBottom w:val="0"/>
      <w:divBdr>
        <w:top w:val="none" w:sz="0" w:space="0" w:color="auto"/>
        <w:left w:val="none" w:sz="0" w:space="0" w:color="auto"/>
        <w:bottom w:val="none" w:sz="0" w:space="0" w:color="auto"/>
        <w:right w:val="none" w:sz="0" w:space="0" w:color="auto"/>
      </w:divBdr>
    </w:div>
    <w:div w:id="928469416">
      <w:bodyDiv w:val="1"/>
      <w:marLeft w:val="0"/>
      <w:marRight w:val="0"/>
      <w:marTop w:val="0"/>
      <w:marBottom w:val="0"/>
      <w:divBdr>
        <w:top w:val="none" w:sz="0" w:space="0" w:color="auto"/>
        <w:left w:val="none" w:sz="0" w:space="0" w:color="auto"/>
        <w:bottom w:val="none" w:sz="0" w:space="0" w:color="auto"/>
        <w:right w:val="none" w:sz="0" w:space="0" w:color="auto"/>
      </w:divBdr>
    </w:div>
    <w:div w:id="940068984">
      <w:bodyDiv w:val="1"/>
      <w:marLeft w:val="0"/>
      <w:marRight w:val="0"/>
      <w:marTop w:val="0"/>
      <w:marBottom w:val="0"/>
      <w:divBdr>
        <w:top w:val="none" w:sz="0" w:space="0" w:color="auto"/>
        <w:left w:val="none" w:sz="0" w:space="0" w:color="auto"/>
        <w:bottom w:val="none" w:sz="0" w:space="0" w:color="auto"/>
        <w:right w:val="none" w:sz="0" w:space="0" w:color="auto"/>
      </w:divBdr>
    </w:div>
    <w:div w:id="972711147">
      <w:bodyDiv w:val="1"/>
      <w:marLeft w:val="0"/>
      <w:marRight w:val="0"/>
      <w:marTop w:val="0"/>
      <w:marBottom w:val="0"/>
      <w:divBdr>
        <w:top w:val="none" w:sz="0" w:space="0" w:color="auto"/>
        <w:left w:val="none" w:sz="0" w:space="0" w:color="auto"/>
        <w:bottom w:val="none" w:sz="0" w:space="0" w:color="auto"/>
        <w:right w:val="none" w:sz="0" w:space="0" w:color="auto"/>
      </w:divBdr>
    </w:div>
    <w:div w:id="978608788">
      <w:bodyDiv w:val="1"/>
      <w:marLeft w:val="0"/>
      <w:marRight w:val="0"/>
      <w:marTop w:val="0"/>
      <w:marBottom w:val="0"/>
      <w:divBdr>
        <w:top w:val="none" w:sz="0" w:space="0" w:color="auto"/>
        <w:left w:val="none" w:sz="0" w:space="0" w:color="auto"/>
        <w:bottom w:val="none" w:sz="0" w:space="0" w:color="auto"/>
        <w:right w:val="none" w:sz="0" w:space="0" w:color="auto"/>
      </w:divBdr>
    </w:div>
    <w:div w:id="986741569">
      <w:bodyDiv w:val="1"/>
      <w:marLeft w:val="0"/>
      <w:marRight w:val="0"/>
      <w:marTop w:val="0"/>
      <w:marBottom w:val="0"/>
      <w:divBdr>
        <w:top w:val="none" w:sz="0" w:space="0" w:color="auto"/>
        <w:left w:val="none" w:sz="0" w:space="0" w:color="auto"/>
        <w:bottom w:val="none" w:sz="0" w:space="0" w:color="auto"/>
        <w:right w:val="none" w:sz="0" w:space="0" w:color="auto"/>
      </w:divBdr>
    </w:div>
    <w:div w:id="998311606">
      <w:bodyDiv w:val="1"/>
      <w:marLeft w:val="0"/>
      <w:marRight w:val="0"/>
      <w:marTop w:val="0"/>
      <w:marBottom w:val="0"/>
      <w:divBdr>
        <w:top w:val="none" w:sz="0" w:space="0" w:color="auto"/>
        <w:left w:val="none" w:sz="0" w:space="0" w:color="auto"/>
        <w:bottom w:val="none" w:sz="0" w:space="0" w:color="auto"/>
        <w:right w:val="none" w:sz="0" w:space="0" w:color="auto"/>
      </w:divBdr>
    </w:div>
    <w:div w:id="1011300595">
      <w:bodyDiv w:val="1"/>
      <w:marLeft w:val="0"/>
      <w:marRight w:val="0"/>
      <w:marTop w:val="0"/>
      <w:marBottom w:val="0"/>
      <w:divBdr>
        <w:top w:val="none" w:sz="0" w:space="0" w:color="auto"/>
        <w:left w:val="none" w:sz="0" w:space="0" w:color="auto"/>
        <w:bottom w:val="none" w:sz="0" w:space="0" w:color="auto"/>
        <w:right w:val="none" w:sz="0" w:space="0" w:color="auto"/>
      </w:divBdr>
    </w:div>
    <w:div w:id="1063481964">
      <w:bodyDiv w:val="1"/>
      <w:marLeft w:val="0"/>
      <w:marRight w:val="0"/>
      <w:marTop w:val="0"/>
      <w:marBottom w:val="0"/>
      <w:divBdr>
        <w:top w:val="none" w:sz="0" w:space="0" w:color="auto"/>
        <w:left w:val="none" w:sz="0" w:space="0" w:color="auto"/>
        <w:bottom w:val="none" w:sz="0" w:space="0" w:color="auto"/>
        <w:right w:val="none" w:sz="0" w:space="0" w:color="auto"/>
      </w:divBdr>
    </w:div>
    <w:div w:id="1070273391">
      <w:bodyDiv w:val="1"/>
      <w:marLeft w:val="0"/>
      <w:marRight w:val="0"/>
      <w:marTop w:val="0"/>
      <w:marBottom w:val="0"/>
      <w:divBdr>
        <w:top w:val="none" w:sz="0" w:space="0" w:color="auto"/>
        <w:left w:val="none" w:sz="0" w:space="0" w:color="auto"/>
        <w:bottom w:val="none" w:sz="0" w:space="0" w:color="auto"/>
        <w:right w:val="none" w:sz="0" w:space="0" w:color="auto"/>
      </w:divBdr>
    </w:div>
    <w:div w:id="1088573993">
      <w:bodyDiv w:val="1"/>
      <w:marLeft w:val="0"/>
      <w:marRight w:val="0"/>
      <w:marTop w:val="0"/>
      <w:marBottom w:val="0"/>
      <w:divBdr>
        <w:top w:val="none" w:sz="0" w:space="0" w:color="auto"/>
        <w:left w:val="none" w:sz="0" w:space="0" w:color="auto"/>
        <w:bottom w:val="none" w:sz="0" w:space="0" w:color="auto"/>
        <w:right w:val="none" w:sz="0" w:space="0" w:color="auto"/>
      </w:divBdr>
    </w:div>
    <w:div w:id="1094671924">
      <w:bodyDiv w:val="1"/>
      <w:marLeft w:val="0"/>
      <w:marRight w:val="0"/>
      <w:marTop w:val="0"/>
      <w:marBottom w:val="0"/>
      <w:divBdr>
        <w:top w:val="none" w:sz="0" w:space="0" w:color="auto"/>
        <w:left w:val="none" w:sz="0" w:space="0" w:color="auto"/>
        <w:bottom w:val="none" w:sz="0" w:space="0" w:color="auto"/>
        <w:right w:val="none" w:sz="0" w:space="0" w:color="auto"/>
      </w:divBdr>
    </w:div>
    <w:div w:id="1110854851">
      <w:bodyDiv w:val="1"/>
      <w:marLeft w:val="0"/>
      <w:marRight w:val="0"/>
      <w:marTop w:val="0"/>
      <w:marBottom w:val="0"/>
      <w:divBdr>
        <w:top w:val="none" w:sz="0" w:space="0" w:color="auto"/>
        <w:left w:val="none" w:sz="0" w:space="0" w:color="auto"/>
        <w:bottom w:val="none" w:sz="0" w:space="0" w:color="auto"/>
        <w:right w:val="none" w:sz="0" w:space="0" w:color="auto"/>
      </w:divBdr>
    </w:div>
    <w:div w:id="1117791599">
      <w:bodyDiv w:val="1"/>
      <w:marLeft w:val="0"/>
      <w:marRight w:val="0"/>
      <w:marTop w:val="0"/>
      <w:marBottom w:val="0"/>
      <w:divBdr>
        <w:top w:val="none" w:sz="0" w:space="0" w:color="auto"/>
        <w:left w:val="none" w:sz="0" w:space="0" w:color="auto"/>
        <w:bottom w:val="none" w:sz="0" w:space="0" w:color="auto"/>
        <w:right w:val="none" w:sz="0" w:space="0" w:color="auto"/>
      </w:divBdr>
    </w:div>
    <w:div w:id="1129518393">
      <w:bodyDiv w:val="1"/>
      <w:marLeft w:val="0"/>
      <w:marRight w:val="0"/>
      <w:marTop w:val="0"/>
      <w:marBottom w:val="0"/>
      <w:divBdr>
        <w:top w:val="none" w:sz="0" w:space="0" w:color="auto"/>
        <w:left w:val="none" w:sz="0" w:space="0" w:color="auto"/>
        <w:bottom w:val="none" w:sz="0" w:space="0" w:color="auto"/>
        <w:right w:val="none" w:sz="0" w:space="0" w:color="auto"/>
      </w:divBdr>
    </w:div>
    <w:div w:id="1130585228">
      <w:bodyDiv w:val="1"/>
      <w:marLeft w:val="0"/>
      <w:marRight w:val="0"/>
      <w:marTop w:val="0"/>
      <w:marBottom w:val="0"/>
      <w:divBdr>
        <w:top w:val="none" w:sz="0" w:space="0" w:color="auto"/>
        <w:left w:val="none" w:sz="0" w:space="0" w:color="auto"/>
        <w:bottom w:val="none" w:sz="0" w:space="0" w:color="auto"/>
        <w:right w:val="none" w:sz="0" w:space="0" w:color="auto"/>
      </w:divBdr>
    </w:div>
    <w:div w:id="1131244880">
      <w:bodyDiv w:val="1"/>
      <w:marLeft w:val="0"/>
      <w:marRight w:val="0"/>
      <w:marTop w:val="0"/>
      <w:marBottom w:val="0"/>
      <w:divBdr>
        <w:top w:val="none" w:sz="0" w:space="0" w:color="auto"/>
        <w:left w:val="none" w:sz="0" w:space="0" w:color="auto"/>
        <w:bottom w:val="none" w:sz="0" w:space="0" w:color="auto"/>
        <w:right w:val="none" w:sz="0" w:space="0" w:color="auto"/>
      </w:divBdr>
    </w:div>
    <w:div w:id="1142842418">
      <w:bodyDiv w:val="1"/>
      <w:marLeft w:val="0"/>
      <w:marRight w:val="0"/>
      <w:marTop w:val="0"/>
      <w:marBottom w:val="0"/>
      <w:divBdr>
        <w:top w:val="none" w:sz="0" w:space="0" w:color="auto"/>
        <w:left w:val="none" w:sz="0" w:space="0" w:color="auto"/>
        <w:bottom w:val="none" w:sz="0" w:space="0" w:color="auto"/>
        <w:right w:val="none" w:sz="0" w:space="0" w:color="auto"/>
      </w:divBdr>
    </w:div>
    <w:div w:id="1145660688">
      <w:bodyDiv w:val="1"/>
      <w:marLeft w:val="0"/>
      <w:marRight w:val="0"/>
      <w:marTop w:val="0"/>
      <w:marBottom w:val="0"/>
      <w:divBdr>
        <w:top w:val="none" w:sz="0" w:space="0" w:color="auto"/>
        <w:left w:val="none" w:sz="0" w:space="0" w:color="auto"/>
        <w:bottom w:val="none" w:sz="0" w:space="0" w:color="auto"/>
        <w:right w:val="none" w:sz="0" w:space="0" w:color="auto"/>
      </w:divBdr>
    </w:div>
    <w:div w:id="1148790000">
      <w:bodyDiv w:val="1"/>
      <w:marLeft w:val="0"/>
      <w:marRight w:val="0"/>
      <w:marTop w:val="0"/>
      <w:marBottom w:val="0"/>
      <w:divBdr>
        <w:top w:val="none" w:sz="0" w:space="0" w:color="auto"/>
        <w:left w:val="none" w:sz="0" w:space="0" w:color="auto"/>
        <w:bottom w:val="none" w:sz="0" w:space="0" w:color="auto"/>
        <w:right w:val="none" w:sz="0" w:space="0" w:color="auto"/>
      </w:divBdr>
    </w:div>
    <w:div w:id="1161389403">
      <w:bodyDiv w:val="1"/>
      <w:marLeft w:val="0"/>
      <w:marRight w:val="0"/>
      <w:marTop w:val="0"/>
      <w:marBottom w:val="0"/>
      <w:divBdr>
        <w:top w:val="none" w:sz="0" w:space="0" w:color="auto"/>
        <w:left w:val="none" w:sz="0" w:space="0" w:color="auto"/>
        <w:bottom w:val="none" w:sz="0" w:space="0" w:color="auto"/>
        <w:right w:val="none" w:sz="0" w:space="0" w:color="auto"/>
      </w:divBdr>
    </w:div>
    <w:div w:id="1165515152">
      <w:bodyDiv w:val="1"/>
      <w:marLeft w:val="0"/>
      <w:marRight w:val="0"/>
      <w:marTop w:val="0"/>
      <w:marBottom w:val="0"/>
      <w:divBdr>
        <w:top w:val="none" w:sz="0" w:space="0" w:color="auto"/>
        <w:left w:val="none" w:sz="0" w:space="0" w:color="auto"/>
        <w:bottom w:val="none" w:sz="0" w:space="0" w:color="auto"/>
        <w:right w:val="none" w:sz="0" w:space="0" w:color="auto"/>
      </w:divBdr>
    </w:div>
    <w:div w:id="1172183640">
      <w:bodyDiv w:val="1"/>
      <w:marLeft w:val="0"/>
      <w:marRight w:val="0"/>
      <w:marTop w:val="0"/>
      <w:marBottom w:val="0"/>
      <w:divBdr>
        <w:top w:val="none" w:sz="0" w:space="0" w:color="auto"/>
        <w:left w:val="none" w:sz="0" w:space="0" w:color="auto"/>
        <w:bottom w:val="none" w:sz="0" w:space="0" w:color="auto"/>
        <w:right w:val="none" w:sz="0" w:space="0" w:color="auto"/>
      </w:divBdr>
    </w:div>
    <w:div w:id="1181970135">
      <w:bodyDiv w:val="1"/>
      <w:marLeft w:val="0"/>
      <w:marRight w:val="0"/>
      <w:marTop w:val="0"/>
      <w:marBottom w:val="0"/>
      <w:divBdr>
        <w:top w:val="none" w:sz="0" w:space="0" w:color="auto"/>
        <w:left w:val="none" w:sz="0" w:space="0" w:color="auto"/>
        <w:bottom w:val="none" w:sz="0" w:space="0" w:color="auto"/>
        <w:right w:val="none" w:sz="0" w:space="0" w:color="auto"/>
      </w:divBdr>
    </w:div>
    <w:div w:id="1212574834">
      <w:bodyDiv w:val="1"/>
      <w:marLeft w:val="0"/>
      <w:marRight w:val="0"/>
      <w:marTop w:val="0"/>
      <w:marBottom w:val="0"/>
      <w:divBdr>
        <w:top w:val="none" w:sz="0" w:space="0" w:color="auto"/>
        <w:left w:val="none" w:sz="0" w:space="0" w:color="auto"/>
        <w:bottom w:val="none" w:sz="0" w:space="0" w:color="auto"/>
        <w:right w:val="none" w:sz="0" w:space="0" w:color="auto"/>
      </w:divBdr>
    </w:div>
    <w:div w:id="1241330016">
      <w:bodyDiv w:val="1"/>
      <w:marLeft w:val="0"/>
      <w:marRight w:val="0"/>
      <w:marTop w:val="0"/>
      <w:marBottom w:val="0"/>
      <w:divBdr>
        <w:top w:val="none" w:sz="0" w:space="0" w:color="auto"/>
        <w:left w:val="none" w:sz="0" w:space="0" w:color="auto"/>
        <w:bottom w:val="none" w:sz="0" w:space="0" w:color="auto"/>
        <w:right w:val="none" w:sz="0" w:space="0" w:color="auto"/>
      </w:divBdr>
    </w:div>
    <w:div w:id="1269435094">
      <w:bodyDiv w:val="1"/>
      <w:marLeft w:val="0"/>
      <w:marRight w:val="0"/>
      <w:marTop w:val="0"/>
      <w:marBottom w:val="0"/>
      <w:divBdr>
        <w:top w:val="none" w:sz="0" w:space="0" w:color="auto"/>
        <w:left w:val="none" w:sz="0" w:space="0" w:color="auto"/>
        <w:bottom w:val="none" w:sz="0" w:space="0" w:color="auto"/>
        <w:right w:val="none" w:sz="0" w:space="0" w:color="auto"/>
      </w:divBdr>
    </w:div>
    <w:div w:id="1270553718">
      <w:bodyDiv w:val="1"/>
      <w:marLeft w:val="0"/>
      <w:marRight w:val="0"/>
      <w:marTop w:val="0"/>
      <w:marBottom w:val="0"/>
      <w:divBdr>
        <w:top w:val="none" w:sz="0" w:space="0" w:color="auto"/>
        <w:left w:val="none" w:sz="0" w:space="0" w:color="auto"/>
        <w:bottom w:val="none" w:sz="0" w:space="0" w:color="auto"/>
        <w:right w:val="none" w:sz="0" w:space="0" w:color="auto"/>
      </w:divBdr>
    </w:div>
    <w:div w:id="1285575391">
      <w:bodyDiv w:val="1"/>
      <w:marLeft w:val="0"/>
      <w:marRight w:val="0"/>
      <w:marTop w:val="0"/>
      <w:marBottom w:val="0"/>
      <w:divBdr>
        <w:top w:val="none" w:sz="0" w:space="0" w:color="auto"/>
        <w:left w:val="none" w:sz="0" w:space="0" w:color="auto"/>
        <w:bottom w:val="none" w:sz="0" w:space="0" w:color="auto"/>
        <w:right w:val="none" w:sz="0" w:space="0" w:color="auto"/>
      </w:divBdr>
    </w:div>
    <w:div w:id="1291403506">
      <w:bodyDiv w:val="1"/>
      <w:marLeft w:val="0"/>
      <w:marRight w:val="0"/>
      <w:marTop w:val="0"/>
      <w:marBottom w:val="0"/>
      <w:divBdr>
        <w:top w:val="none" w:sz="0" w:space="0" w:color="auto"/>
        <w:left w:val="none" w:sz="0" w:space="0" w:color="auto"/>
        <w:bottom w:val="none" w:sz="0" w:space="0" w:color="auto"/>
        <w:right w:val="none" w:sz="0" w:space="0" w:color="auto"/>
      </w:divBdr>
    </w:div>
    <w:div w:id="1358197714">
      <w:bodyDiv w:val="1"/>
      <w:marLeft w:val="0"/>
      <w:marRight w:val="0"/>
      <w:marTop w:val="0"/>
      <w:marBottom w:val="0"/>
      <w:divBdr>
        <w:top w:val="none" w:sz="0" w:space="0" w:color="auto"/>
        <w:left w:val="none" w:sz="0" w:space="0" w:color="auto"/>
        <w:bottom w:val="none" w:sz="0" w:space="0" w:color="auto"/>
        <w:right w:val="none" w:sz="0" w:space="0" w:color="auto"/>
      </w:divBdr>
    </w:div>
    <w:div w:id="1421561452">
      <w:bodyDiv w:val="1"/>
      <w:marLeft w:val="0"/>
      <w:marRight w:val="0"/>
      <w:marTop w:val="0"/>
      <w:marBottom w:val="0"/>
      <w:divBdr>
        <w:top w:val="none" w:sz="0" w:space="0" w:color="auto"/>
        <w:left w:val="none" w:sz="0" w:space="0" w:color="auto"/>
        <w:bottom w:val="none" w:sz="0" w:space="0" w:color="auto"/>
        <w:right w:val="none" w:sz="0" w:space="0" w:color="auto"/>
      </w:divBdr>
    </w:div>
    <w:div w:id="1473014793">
      <w:bodyDiv w:val="1"/>
      <w:marLeft w:val="0"/>
      <w:marRight w:val="0"/>
      <w:marTop w:val="0"/>
      <w:marBottom w:val="0"/>
      <w:divBdr>
        <w:top w:val="none" w:sz="0" w:space="0" w:color="auto"/>
        <w:left w:val="none" w:sz="0" w:space="0" w:color="auto"/>
        <w:bottom w:val="none" w:sz="0" w:space="0" w:color="auto"/>
        <w:right w:val="none" w:sz="0" w:space="0" w:color="auto"/>
      </w:divBdr>
    </w:div>
    <w:div w:id="1474369198">
      <w:bodyDiv w:val="1"/>
      <w:marLeft w:val="0"/>
      <w:marRight w:val="0"/>
      <w:marTop w:val="0"/>
      <w:marBottom w:val="0"/>
      <w:divBdr>
        <w:top w:val="none" w:sz="0" w:space="0" w:color="auto"/>
        <w:left w:val="none" w:sz="0" w:space="0" w:color="auto"/>
        <w:bottom w:val="none" w:sz="0" w:space="0" w:color="auto"/>
        <w:right w:val="none" w:sz="0" w:space="0" w:color="auto"/>
      </w:divBdr>
    </w:div>
    <w:div w:id="1483962625">
      <w:bodyDiv w:val="1"/>
      <w:marLeft w:val="0"/>
      <w:marRight w:val="0"/>
      <w:marTop w:val="0"/>
      <w:marBottom w:val="0"/>
      <w:divBdr>
        <w:top w:val="none" w:sz="0" w:space="0" w:color="auto"/>
        <w:left w:val="none" w:sz="0" w:space="0" w:color="auto"/>
        <w:bottom w:val="none" w:sz="0" w:space="0" w:color="auto"/>
        <w:right w:val="none" w:sz="0" w:space="0" w:color="auto"/>
      </w:divBdr>
    </w:div>
    <w:div w:id="1499887704">
      <w:bodyDiv w:val="1"/>
      <w:marLeft w:val="0"/>
      <w:marRight w:val="0"/>
      <w:marTop w:val="0"/>
      <w:marBottom w:val="0"/>
      <w:divBdr>
        <w:top w:val="none" w:sz="0" w:space="0" w:color="auto"/>
        <w:left w:val="none" w:sz="0" w:space="0" w:color="auto"/>
        <w:bottom w:val="none" w:sz="0" w:space="0" w:color="auto"/>
        <w:right w:val="none" w:sz="0" w:space="0" w:color="auto"/>
      </w:divBdr>
    </w:div>
    <w:div w:id="1503473107">
      <w:bodyDiv w:val="1"/>
      <w:marLeft w:val="0"/>
      <w:marRight w:val="0"/>
      <w:marTop w:val="0"/>
      <w:marBottom w:val="0"/>
      <w:divBdr>
        <w:top w:val="none" w:sz="0" w:space="0" w:color="auto"/>
        <w:left w:val="none" w:sz="0" w:space="0" w:color="auto"/>
        <w:bottom w:val="none" w:sz="0" w:space="0" w:color="auto"/>
        <w:right w:val="none" w:sz="0" w:space="0" w:color="auto"/>
      </w:divBdr>
    </w:div>
    <w:div w:id="1525754759">
      <w:bodyDiv w:val="1"/>
      <w:marLeft w:val="0"/>
      <w:marRight w:val="0"/>
      <w:marTop w:val="0"/>
      <w:marBottom w:val="0"/>
      <w:divBdr>
        <w:top w:val="none" w:sz="0" w:space="0" w:color="auto"/>
        <w:left w:val="none" w:sz="0" w:space="0" w:color="auto"/>
        <w:bottom w:val="none" w:sz="0" w:space="0" w:color="auto"/>
        <w:right w:val="none" w:sz="0" w:space="0" w:color="auto"/>
      </w:divBdr>
    </w:div>
    <w:div w:id="1541622503">
      <w:bodyDiv w:val="1"/>
      <w:marLeft w:val="0"/>
      <w:marRight w:val="0"/>
      <w:marTop w:val="0"/>
      <w:marBottom w:val="0"/>
      <w:divBdr>
        <w:top w:val="none" w:sz="0" w:space="0" w:color="auto"/>
        <w:left w:val="none" w:sz="0" w:space="0" w:color="auto"/>
        <w:bottom w:val="none" w:sz="0" w:space="0" w:color="auto"/>
        <w:right w:val="none" w:sz="0" w:space="0" w:color="auto"/>
      </w:divBdr>
    </w:div>
    <w:div w:id="1550920125">
      <w:bodyDiv w:val="1"/>
      <w:marLeft w:val="0"/>
      <w:marRight w:val="0"/>
      <w:marTop w:val="0"/>
      <w:marBottom w:val="0"/>
      <w:divBdr>
        <w:top w:val="none" w:sz="0" w:space="0" w:color="auto"/>
        <w:left w:val="none" w:sz="0" w:space="0" w:color="auto"/>
        <w:bottom w:val="none" w:sz="0" w:space="0" w:color="auto"/>
        <w:right w:val="none" w:sz="0" w:space="0" w:color="auto"/>
      </w:divBdr>
    </w:div>
    <w:div w:id="1587038086">
      <w:bodyDiv w:val="1"/>
      <w:marLeft w:val="0"/>
      <w:marRight w:val="0"/>
      <w:marTop w:val="0"/>
      <w:marBottom w:val="0"/>
      <w:divBdr>
        <w:top w:val="none" w:sz="0" w:space="0" w:color="auto"/>
        <w:left w:val="none" w:sz="0" w:space="0" w:color="auto"/>
        <w:bottom w:val="none" w:sz="0" w:space="0" w:color="auto"/>
        <w:right w:val="none" w:sz="0" w:space="0" w:color="auto"/>
      </w:divBdr>
    </w:div>
    <w:div w:id="1609386351">
      <w:bodyDiv w:val="1"/>
      <w:marLeft w:val="0"/>
      <w:marRight w:val="0"/>
      <w:marTop w:val="0"/>
      <w:marBottom w:val="0"/>
      <w:divBdr>
        <w:top w:val="none" w:sz="0" w:space="0" w:color="auto"/>
        <w:left w:val="none" w:sz="0" w:space="0" w:color="auto"/>
        <w:bottom w:val="none" w:sz="0" w:space="0" w:color="auto"/>
        <w:right w:val="none" w:sz="0" w:space="0" w:color="auto"/>
      </w:divBdr>
    </w:div>
    <w:div w:id="1657104041">
      <w:bodyDiv w:val="1"/>
      <w:marLeft w:val="0"/>
      <w:marRight w:val="0"/>
      <w:marTop w:val="0"/>
      <w:marBottom w:val="0"/>
      <w:divBdr>
        <w:top w:val="none" w:sz="0" w:space="0" w:color="auto"/>
        <w:left w:val="none" w:sz="0" w:space="0" w:color="auto"/>
        <w:bottom w:val="none" w:sz="0" w:space="0" w:color="auto"/>
        <w:right w:val="none" w:sz="0" w:space="0" w:color="auto"/>
      </w:divBdr>
    </w:div>
    <w:div w:id="1683241637">
      <w:bodyDiv w:val="1"/>
      <w:marLeft w:val="0"/>
      <w:marRight w:val="0"/>
      <w:marTop w:val="0"/>
      <w:marBottom w:val="0"/>
      <w:divBdr>
        <w:top w:val="none" w:sz="0" w:space="0" w:color="auto"/>
        <w:left w:val="none" w:sz="0" w:space="0" w:color="auto"/>
        <w:bottom w:val="none" w:sz="0" w:space="0" w:color="auto"/>
        <w:right w:val="none" w:sz="0" w:space="0" w:color="auto"/>
      </w:divBdr>
    </w:div>
    <w:div w:id="1690524695">
      <w:bodyDiv w:val="1"/>
      <w:marLeft w:val="0"/>
      <w:marRight w:val="0"/>
      <w:marTop w:val="0"/>
      <w:marBottom w:val="0"/>
      <w:divBdr>
        <w:top w:val="none" w:sz="0" w:space="0" w:color="auto"/>
        <w:left w:val="none" w:sz="0" w:space="0" w:color="auto"/>
        <w:bottom w:val="none" w:sz="0" w:space="0" w:color="auto"/>
        <w:right w:val="none" w:sz="0" w:space="0" w:color="auto"/>
      </w:divBdr>
    </w:div>
    <w:div w:id="1702583779">
      <w:bodyDiv w:val="1"/>
      <w:marLeft w:val="0"/>
      <w:marRight w:val="0"/>
      <w:marTop w:val="0"/>
      <w:marBottom w:val="0"/>
      <w:divBdr>
        <w:top w:val="none" w:sz="0" w:space="0" w:color="auto"/>
        <w:left w:val="none" w:sz="0" w:space="0" w:color="auto"/>
        <w:bottom w:val="none" w:sz="0" w:space="0" w:color="auto"/>
        <w:right w:val="none" w:sz="0" w:space="0" w:color="auto"/>
      </w:divBdr>
    </w:div>
    <w:div w:id="1711807389">
      <w:bodyDiv w:val="1"/>
      <w:marLeft w:val="0"/>
      <w:marRight w:val="0"/>
      <w:marTop w:val="0"/>
      <w:marBottom w:val="0"/>
      <w:divBdr>
        <w:top w:val="none" w:sz="0" w:space="0" w:color="auto"/>
        <w:left w:val="none" w:sz="0" w:space="0" w:color="auto"/>
        <w:bottom w:val="none" w:sz="0" w:space="0" w:color="auto"/>
        <w:right w:val="none" w:sz="0" w:space="0" w:color="auto"/>
      </w:divBdr>
    </w:div>
    <w:div w:id="1715037305">
      <w:bodyDiv w:val="1"/>
      <w:marLeft w:val="0"/>
      <w:marRight w:val="0"/>
      <w:marTop w:val="0"/>
      <w:marBottom w:val="0"/>
      <w:divBdr>
        <w:top w:val="none" w:sz="0" w:space="0" w:color="auto"/>
        <w:left w:val="none" w:sz="0" w:space="0" w:color="auto"/>
        <w:bottom w:val="none" w:sz="0" w:space="0" w:color="auto"/>
        <w:right w:val="none" w:sz="0" w:space="0" w:color="auto"/>
      </w:divBdr>
    </w:div>
    <w:div w:id="1718116211">
      <w:bodyDiv w:val="1"/>
      <w:marLeft w:val="0"/>
      <w:marRight w:val="0"/>
      <w:marTop w:val="0"/>
      <w:marBottom w:val="0"/>
      <w:divBdr>
        <w:top w:val="none" w:sz="0" w:space="0" w:color="auto"/>
        <w:left w:val="none" w:sz="0" w:space="0" w:color="auto"/>
        <w:bottom w:val="none" w:sz="0" w:space="0" w:color="auto"/>
        <w:right w:val="none" w:sz="0" w:space="0" w:color="auto"/>
      </w:divBdr>
    </w:div>
    <w:div w:id="1745762255">
      <w:bodyDiv w:val="1"/>
      <w:marLeft w:val="0"/>
      <w:marRight w:val="0"/>
      <w:marTop w:val="0"/>
      <w:marBottom w:val="0"/>
      <w:divBdr>
        <w:top w:val="none" w:sz="0" w:space="0" w:color="auto"/>
        <w:left w:val="none" w:sz="0" w:space="0" w:color="auto"/>
        <w:bottom w:val="none" w:sz="0" w:space="0" w:color="auto"/>
        <w:right w:val="none" w:sz="0" w:space="0" w:color="auto"/>
      </w:divBdr>
    </w:div>
    <w:div w:id="1754274940">
      <w:bodyDiv w:val="1"/>
      <w:marLeft w:val="0"/>
      <w:marRight w:val="0"/>
      <w:marTop w:val="0"/>
      <w:marBottom w:val="0"/>
      <w:divBdr>
        <w:top w:val="none" w:sz="0" w:space="0" w:color="auto"/>
        <w:left w:val="none" w:sz="0" w:space="0" w:color="auto"/>
        <w:bottom w:val="none" w:sz="0" w:space="0" w:color="auto"/>
        <w:right w:val="none" w:sz="0" w:space="0" w:color="auto"/>
      </w:divBdr>
    </w:div>
    <w:div w:id="1757240221">
      <w:bodyDiv w:val="1"/>
      <w:marLeft w:val="0"/>
      <w:marRight w:val="0"/>
      <w:marTop w:val="0"/>
      <w:marBottom w:val="0"/>
      <w:divBdr>
        <w:top w:val="none" w:sz="0" w:space="0" w:color="auto"/>
        <w:left w:val="none" w:sz="0" w:space="0" w:color="auto"/>
        <w:bottom w:val="none" w:sz="0" w:space="0" w:color="auto"/>
        <w:right w:val="none" w:sz="0" w:space="0" w:color="auto"/>
      </w:divBdr>
    </w:div>
    <w:div w:id="1765150121">
      <w:bodyDiv w:val="1"/>
      <w:marLeft w:val="0"/>
      <w:marRight w:val="0"/>
      <w:marTop w:val="0"/>
      <w:marBottom w:val="0"/>
      <w:divBdr>
        <w:top w:val="none" w:sz="0" w:space="0" w:color="auto"/>
        <w:left w:val="none" w:sz="0" w:space="0" w:color="auto"/>
        <w:bottom w:val="none" w:sz="0" w:space="0" w:color="auto"/>
        <w:right w:val="none" w:sz="0" w:space="0" w:color="auto"/>
      </w:divBdr>
    </w:div>
    <w:div w:id="1776557704">
      <w:bodyDiv w:val="1"/>
      <w:marLeft w:val="0"/>
      <w:marRight w:val="0"/>
      <w:marTop w:val="0"/>
      <w:marBottom w:val="0"/>
      <w:divBdr>
        <w:top w:val="none" w:sz="0" w:space="0" w:color="auto"/>
        <w:left w:val="none" w:sz="0" w:space="0" w:color="auto"/>
        <w:bottom w:val="none" w:sz="0" w:space="0" w:color="auto"/>
        <w:right w:val="none" w:sz="0" w:space="0" w:color="auto"/>
      </w:divBdr>
    </w:div>
    <w:div w:id="1791632649">
      <w:bodyDiv w:val="1"/>
      <w:marLeft w:val="0"/>
      <w:marRight w:val="0"/>
      <w:marTop w:val="0"/>
      <w:marBottom w:val="0"/>
      <w:divBdr>
        <w:top w:val="none" w:sz="0" w:space="0" w:color="auto"/>
        <w:left w:val="none" w:sz="0" w:space="0" w:color="auto"/>
        <w:bottom w:val="none" w:sz="0" w:space="0" w:color="auto"/>
        <w:right w:val="none" w:sz="0" w:space="0" w:color="auto"/>
      </w:divBdr>
    </w:div>
    <w:div w:id="1816487149">
      <w:bodyDiv w:val="1"/>
      <w:marLeft w:val="0"/>
      <w:marRight w:val="0"/>
      <w:marTop w:val="0"/>
      <w:marBottom w:val="0"/>
      <w:divBdr>
        <w:top w:val="none" w:sz="0" w:space="0" w:color="auto"/>
        <w:left w:val="none" w:sz="0" w:space="0" w:color="auto"/>
        <w:bottom w:val="none" w:sz="0" w:space="0" w:color="auto"/>
        <w:right w:val="none" w:sz="0" w:space="0" w:color="auto"/>
      </w:divBdr>
    </w:div>
    <w:div w:id="1878927851">
      <w:bodyDiv w:val="1"/>
      <w:marLeft w:val="0"/>
      <w:marRight w:val="0"/>
      <w:marTop w:val="0"/>
      <w:marBottom w:val="0"/>
      <w:divBdr>
        <w:top w:val="none" w:sz="0" w:space="0" w:color="auto"/>
        <w:left w:val="none" w:sz="0" w:space="0" w:color="auto"/>
        <w:bottom w:val="none" w:sz="0" w:space="0" w:color="auto"/>
        <w:right w:val="none" w:sz="0" w:space="0" w:color="auto"/>
      </w:divBdr>
    </w:div>
    <w:div w:id="1891106829">
      <w:bodyDiv w:val="1"/>
      <w:marLeft w:val="0"/>
      <w:marRight w:val="0"/>
      <w:marTop w:val="0"/>
      <w:marBottom w:val="0"/>
      <w:divBdr>
        <w:top w:val="none" w:sz="0" w:space="0" w:color="auto"/>
        <w:left w:val="none" w:sz="0" w:space="0" w:color="auto"/>
        <w:bottom w:val="none" w:sz="0" w:space="0" w:color="auto"/>
        <w:right w:val="none" w:sz="0" w:space="0" w:color="auto"/>
      </w:divBdr>
    </w:div>
    <w:div w:id="1897279806">
      <w:bodyDiv w:val="1"/>
      <w:marLeft w:val="0"/>
      <w:marRight w:val="0"/>
      <w:marTop w:val="0"/>
      <w:marBottom w:val="0"/>
      <w:divBdr>
        <w:top w:val="none" w:sz="0" w:space="0" w:color="auto"/>
        <w:left w:val="none" w:sz="0" w:space="0" w:color="auto"/>
        <w:bottom w:val="none" w:sz="0" w:space="0" w:color="auto"/>
        <w:right w:val="none" w:sz="0" w:space="0" w:color="auto"/>
      </w:divBdr>
    </w:div>
    <w:div w:id="1905947501">
      <w:bodyDiv w:val="1"/>
      <w:marLeft w:val="0"/>
      <w:marRight w:val="0"/>
      <w:marTop w:val="0"/>
      <w:marBottom w:val="0"/>
      <w:divBdr>
        <w:top w:val="none" w:sz="0" w:space="0" w:color="auto"/>
        <w:left w:val="none" w:sz="0" w:space="0" w:color="auto"/>
        <w:bottom w:val="none" w:sz="0" w:space="0" w:color="auto"/>
        <w:right w:val="none" w:sz="0" w:space="0" w:color="auto"/>
      </w:divBdr>
    </w:div>
    <w:div w:id="1919242370">
      <w:bodyDiv w:val="1"/>
      <w:marLeft w:val="0"/>
      <w:marRight w:val="0"/>
      <w:marTop w:val="0"/>
      <w:marBottom w:val="0"/>
      <w:divBdr>
        <w:top w:val="none" w:sz="0" w:space="0" w:color="auto"/>
        <w:left w:val="none" w:sz="0" w:space="0" w:color="auto"/>
        <w:bottom w:val="none" w:sz="0" w:space="0" w:color="auto"/>
        <w:right w:val="none" w:sz="0" w:space="0" w:color="auto"/>
      </w:divBdr>
    </w:div>
    <w:div w:id="1927032249">
      <w:bodyDiv w:val="1"/>
      <w:marLeft w:val="0"/>
      <w:marRight w:val="0"/>
      <w:marTop w:val="0"/>
      <w:marBottom w:val="0"/>
      <w:divBdr>
        <w:top w:val="none" w:sz="0" w:space="0" w:color="auto"/>
        <w:left w:val="none" w:sz="0" w:space="0" w:color="auto"/>
        <w:bottom w:val="none" w:sz="0" w:space="0" w:color="auto"/>
        <w:right w:val="none" w:sz="0" w:space="0" w:color="auto"/>
      </w:divBdr>
    </w:div>
    <w:div w:id="1932279225">
      <w:bodyDiv w:val="1"/>
      <w:marLeft w:val="0"/>
      <w:marRight w:val="0"/>
      <w:marTop w:val="0"/>
      <w:marBottom w:val="0"/>
      <w:divBdr>
        <w:top w:val="none" w:sz="0" w:space="0" w:color="auto"/>
        <w:left w:val="none" w:sz="0" w:space="0" w:color="auto"/>
        <w:bottom w:val="none" w:sz="0" w:space="0" w:color="auto"/>
        <w:right w:val="none" w:sz="0" w:space="0" w:color="auto"/>
      </w:divBdr>
    </w:div>
    <w:div w:id="1977370934">
      <w:bodyDiv w:val="1"/>
      <w:marLeft w:val="0"/>
      <w:marRight w:val="0"/>
      <w:marTop w:val="0"/>
      <w:marBottom w:val="0"/>
      <w:divBdr>
        <w:top w:val="none" w:sz="0" w:space="0" w:color="auto"/>
        <w:left w:val="none" w:sz="0" w:space="0" w:color="auto"/>
        <w:bottom w:val="none" w:sz="0" w:space="0" w:color="auto"/>
        <w:right w:val="none" w:sz="0" w:space="0" w:color="auto"/>
      </w:divBdr>
    </w:div>
    <w:div w:id="1994799039">
      <w:bodyDiv w:val="1"/>
      <w:marLeft w:val="0"/>
      <w:marRight w:val="0"/>
      <w:marTop w:val="0"/>
      <w:marBottom w:val="0"/>
      <w:divBdr>
        <w:top w:val="none" w:sz="0" w:space="0" w:color="auto"/>
        <w:left w:val="none" w:sz="0" w:space="0" w:color="auto"/>
        <w:bottom w:val="none" w:sz="0" w:space="0" w:color="auto"/>
        <w:right w:val="none" w:sz="0" w:space="0" w:color="auto"/>
      </w:divBdr>
    </w:div>
    <w:div w:id="2026130722">
      <w:bodyDiv w:val="1"/>
      <w:marLeft w:val="0"/>
      <w:marRight w:val="0"/>
      <w:marTop w:val="0"/>
      <w:marBottom w:val="0"/>
      <w:divBdr>
        <w:top w:val="none" w:sz="0" w:space="0" w:color="auto"/>
        <w:left w:val="none" w:sz="0" w:space="0" w:color="auto"/>
        <w:bottom w:val="none" w:sz="0" w:space="0" w:color="auto"/>
        <w:right w:val="none" w:sz="0" w:space="0" w:color="auto"/>
      </w:divBdr>
    </w:div>
    <w:div w:id="2054696745">
      <w:bodyDiv w:val="1"/>
      <w:marLeft w:val="0"/>
      <w:marRight w:val="0"/>
      <w:marTop w:val="0"/>
      <w:marBottom w:val="0"/>
      <w:divBdr>
        <w:top w:val="none" w:sz="0" w:space="0" w:color="auto"/>
        <w:left w:val="none" w:sz="0" w:space="0" w:color="auto"/>
        <w:bottom w:val="none" w:sz="0" w:space="0" w:color="auto"/>
        <w:right w:val="none" w:sz="0" w:space="0" w:color="auto"/>
      </w:divBdr>
    </w:div>
    <w:div w:id="2061974380">
      <w:bodyDiv w:val="1"/>
      <w:marLeft w:val="0"/>
      <w:marRight w:val="0"/>
      <w:marTop w:val="0"/>
      <w:marBottom w:val="0"/>
      <w:divBdr>
        <w:top w:val="none" w:sz="0" w:space="0" w:color="auto"/>
        <w:left w:val="none" w:sz="0" w:space="0" w:color="auto"/>
        <w:bottom w:val="none" w:sz="0" w:space="0" w:color="auto"/>
        <w:right w:val="none" w:sz="0" w:space="0" w:color="auto"/>
      </w:divBdr>
    </w:div>
    <w:div w:id="2087604661">
      <w:bodyDiv w:val="1"/>
      <w:marLeft w:val="0"/>
      <w:marRight w:val="0"/>
      <w:marTop w:val="0"/>
      <w:marBottom w:val="0"/>
      <w:divBdr>
        <w:top w:val="none" w:sz="0" w:space="0" w:color="auto"/>
        <w:left w:val="none" w:sz="0" w:space="0" w:color="auto"/>
        <w:bottom w:val="none" w:sz="0" w:space="0" w:color="auto"/>
        <w:right w:val="none" w:sz="0" w:space="0" w:color="auto"/>
      </w:divBdr>
    </w:div>
    <w:div w:id="2111200612">
      <w:bodyDiv w:val="1"/>
      <w:marLeft w:val="0"/>
      <w:marRight w:val="0"/>
      <w:marTop w:val="0"/>
      <w:marBottom w:val="0"/>
      <w:divBdr>
        <w:top w:val="none" w:sz="0" w:space="0" w:color="auto"/>
        <w:left w:val="none" w:sz="0" w:space="0" w:color="auto"/>
        <w:bottom w:val="none" w:sz="0" w:space="0" w:color="auto"/>
        <w:right w:val="none" w:sz="0" w:space="0" w:color="auto"/>
      </w:divBdr>
    </w:div>
    <w:div w:id="213563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80076C-356E-4884-911A-5D8BEAE63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13</Pages>
  <Words>3107</Words>
  <Characters>20606</Characters>
  <Application>Microsoft Office Word</Application>
  <DocSecurity>0</DocSecurity>
  <Lines>171</Lines>
  <Paragraphs>47</Paragraphs>
  <ScaleCrop>false</ScaleCrop>
  <HeadingPairs>
    <vt:vector size="2" baseType="variant">
      <vt:variant>
        <vt:lpstr>Τίτλος</vt:lpstr>
      </vt:variant>
      <vt:variant>
        <vt:i4>1</vt:i4>
      </vt:variant>
    </vt:vector>
  </HeadingPairs>
  <TitlesOfParts>
    <vt:vector size="1" baseType="lpstr">
      <vt:lpstr>ΝΟΜΟΣ ΘΕΣΣΑΛΟΝΙΚΗΣ</vt:lpstr>
    </vt:vector>
  </TitlesOfParts>
  <Company>.</Company>
  <LinksUpToDate>false</LinksUpToDate>
  <CharactersWithSpaces>23666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ΝΟΜΟΣ ΘΕΣΣΑΛΟΝΙΚΗΣ</dc:title>
  <dc:creator>.</dc:creator>
  <cp:lastModifiedBy>ivou</cp:lastModifiedBy>
  <cp:revision>3</cp:revision>
  <cp:lastPrinted>2014-12-15T12:43:00Z</cp:lastPrinted>
  <dcterms:created xsi:type="dcterms:W3CDTF">2014-12-15T12:26:00Z</dcterms:created>
  <dcterms:modified xsi:type="dcterms:W3CDTF">2014-12-15T12:46:00Z</dcterms:modified>
</cp:coreProperties>
</file>