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AB63A4" w:rsidRDefault="00AB63A4" w:rsidP="00AE4E24">
      <w:pPr>
        <w:rPr>
          <w:rFonts w:asciiTheme="minorHAnsi" w:hAnsiTheme="minorHAnsi" w:cstheme="minorHAnsi"/>
          <w:b/>
          <w:sz w:val="28"/>
          <w:szCs w:val="28"/>
        </w:rPr>
      </w:pPr>
      <w:r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Pr="00AB63A4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</w:t>
      </w:r>
      <w:r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  <w:r w:rsidRPr="00AB63A4">
        <w:rPr>
          <w:rFonts w:asciiTheme="minorHAnsi" w:hAnsiTheme="minorHAnsi" w:cstheme="minorHAnsi"/>
          <w:b/>
          <w:sz w:val="28"/>
          <w:szCs w:val="28"/>
        </w:rPr>
        <w:t>ΣΧΕΔΙΟ</w:t>
      </w:r>
    </w:p>
    <w:p w:rsidR="00B54A73" w:rsidRPr="008E1EDE" w:rsidRDefault="00B54A73" w:rsidP="00AE4E24">
      <w:pPr>
        <w:rPr>
          <w:rFonts w:asciiTheme="minorHAnsi" w:hAnsiTheme="minorHAnsi" w:cstheme="minorHAnsi"/>
          <w:b/>
          <w:sz w:val="24"/>
          <w:szCs w:val="24"/>
        </w:rPr>
      </w:pP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1A4973">
        <w:rPr>
          <w:rFonts w:asciiTheme="minorHAnsi" w:hAnsiTheme="minorHAnsi" w:cstheme="minorHAnsi"/>
          <w:sz w:val="24"/>
          <w:szCs w:val="24"/>
        </w:rPr>
        <w:t>10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672F1">
        <w:rPr>
          <w:rFonts w:asciiTheme="minorHAnsi" w:hAnsiTheme="minorHAnsi" w:cstheme="minorHAnsi"/>
          <w:sz w:val="24"/>
          <w:szCs w:val="24"/>
        </w:rPr>
        <w:t>0</w:t>
      </w:r>
      <w:r w:rsidR="00E73051" w:rsidRPr="00F54702">
        <w:rPr>
          <w:rFonts w:asciiTheme="minorHAnsi" w:hAnsiTheme="minorHAnsi" w:cstheme="minorHAnsi"/>
          <w:sz w:val="24"/>
          <w:szCs w:val="24"/>
        </w:rPr>
        <w:t>9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415007">
        <w:rPr>
          <w:rFonts w:asciiTheme="minorHAnsi" w:hAnsiTheme="minorHAnsi" w:cstheme="minorHAnsi"/>
          <w:sz w:val="24"/>
          <w:szCs w:val="24"/>
        </w:rPr>
        <w:t>4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6F7C99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</w:t>
      </w:r>
      <w:r w:rsidR="00303280">
        <w:rPr>
          <w:rFonts w:asciiTheme="minorHAnsi" w:hAnsiTheme="minorHAnsi" w:cstheme="minorHAnsi"/>
          <w:sz w:val="24"/>
          <w:szCs w:val="24"/>
          <w:lang w:val="en-US"/>
        </w:rPr>
        <w:t>34989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Πληροφορίες κ. Κουνέλη Αικατερίνη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Τηλ.:  2132004547</w:t>
      </w:r>
    </w:p>
    <w:p w:rsidR="001A65E7" w:rsidRPr="005E7FE8" w:rsidRDefault="001A65E7" w:rsidP="001A65E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23601" w:rsidRDefault="008D0477" w:rsidP="001A65E7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Προς  την Οικονομική Επιτροπή</w:t>
      </w:r>
    </w:p>
    <w:p w:rsidR="008E1EDE" w:rsidRPr="00DB56E5" w:rsidRDefault="008E1EDE" w:rsidP="008E1EDE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b/>
          <w:sz w:val="24"/>
          <w:szCs w:val="24"/>
        </w:rPr>
        <w:t xml:space="preserve">Θ Ε Μ Α: </w:t>
      </w:r>
      <w:r w:rsidRPr="00DB56E5">
        <w:rPr>
          <w:rFonts w:ascii="Arial" w:hAnsi="Arial" w:cs="Arial"/>
          <w:sz w:val="24"/>
          <w:szCs w:val="24"/>
        </w:rPr>
        <w:t>«</w:t>
      </w:r>
      <w:r w:rsidR="00BE2851">
        <w:rPr>
          <w:rFonts w:ascii="Arial" w:hAnsi="Arial" w:cs="Arial"/>
          <w:sz w:val="24"/>
          <w:szCs w:val="24"/>
        </w:rPr>
        <w:t xml:space="preserve">Κατάρτιση   σχεδίου  της </w:t>
      </w:r>
      <w:r w:rsidR="00D62CF0" w:rsidRPr="00D62CF0">
        <w:rPr>
          <w:rFonts w:ascii="Arial" w:hAnsi="Arial" w:cs="Arial"/>
          <w:sz w:val="24"/>
          <w:szCs w:val="24"/>
        </w:rPr>
        <w:t>9</w:t>
      </w:r>
      <w:r w:rsidR="00BE2851" w:rsidRPr="00DB56E5">
        <w:rPr>
          <w:rFonts w:ascii="Arial" w:hAnsi="Arial" w:cs="Arial"/>
          <w:sz w:val="24"/>
          <w:szCs w:val="24"/>
          <w:vertAlign w:val="superscript"/>
        </w:rPr>
        <w:t>ης</w:t>
      </w:r>
      <w:r w:rsidR="00BE2851">
        <w:rPr>
          <w:rFonts w:ascii="Arial" w:hAnsi="Arial" w:cs="Arial"/>
          <w:sz w:val="24"/>
          <w:szCs w:val="24"/>
        </w:rPr>
        <w:t xml:space="preserve">   Αναμόρφωσης</w:t>
      </w:r>
      <w:r w:rsidR="00BE2851" w:rsidRPr="00DB56E5">
        <w:rPr>
          <w:rFonts w:ascii="Arial" w:hAnsi="Arial" w:cs="Arial"/>
          <w:sz w:val="24"/>
          <w:szCs w:val="24"/>
        </w:rPr>
        <w:t xml:space="preserve"> του προϋπολογισμού  του έτους 2014</w:t>
      </w:r>
      <w:r w:rsidR="00284F27"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>»</w:t>
      </w:r>
      <w:r w:rsidR="00DE594D">
        <w:rPr>
          <w:rFonts w:ascii="Arial" w:hAnsi="Arial" w:cs="Arial"/>
          <w:sz w:val="24"/>
          <w:szCs w:val="24"/>
        </w:rPr>
        <w:t>.</w:t>
      </w:r>
    </w:p>
    <w:p w:rsidR="008E1EDE" w:rsidRDefault="008E1EDE" w:rsidP="008E1EDE">
      <w:pPr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B56E5">
        <w:rPr>
          <w:rFonts w:ascii="Arial" w:hAnsi="Arial" w:cs="Arial"/>
          <w:sz w:val="24"/>
          <w:szCs w:val="24"/>
        </w:rPr>
        <w:t xml:space="preserve">Σύμφωνα με το Υπουργείο Εσωτερικών η αναμόρφωση του προϋπολογισμού αποτελεί κατ’ </w:t>
      </w:r>
      <w:r w:rsidR="006D2EBE" w:rsidRPr="00DB56E5">
        <w:rPr>
          <w:rFonts w:ascii="Arial" w:hAnsi="Arial" w:cs="Arial"/>
          <w:sz w:val="24"/>
          <w:szCs w:val="24"/>
        </w:rPr>
        <w:t>ουσία</w:t>
      </w:r>
      <w:r w:rsidR="00912C24"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 xml:space="preserve">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 του τρέχοντος έτους παρίσταται ανάγκη αναμόρφωσης το</w:t>
      </w:r>
      <w:r>
        <w:rPr>
          <w:rFonts w:ascii="Arial" w:hAnsi="Arial" w:cs="Arial"/>
          <w:sz w:val="24"/>
          <w:szCs w:val="24"/>
        </w:rPr>
        <w:t>υ προϋπολογισμού οικ. έτους 2014.</w:t>
      </w:r>
      <w:r w:rsidRPr="00DB56E5">
        <w:rPr>
          <w:rFonts w:ascii="Arial" w:hAnsi="Arial" w:cs="Arial"/>
          <w:sz w:val="24"/>
          <w:szCs w:val="24"/>
        </w:rPr>
        <w:t xml:space="preserve"> </w:t>
      </w:r>
    </w:p>
    <w:p w:rsidR="008E1EDE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</w:t>
      </w:r>
    </w:p>
    <w:p w:rsidR="008E1EDE" w:rsidRPr="00664450" w:rsidRDefault="008E1EDE" w:rsidP="008E1ED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B56E5">
        <w:rPr>
          <w:rFonts w:ascii="Arial" w:hAnsi="Arial" w:cs="Arial"/>
          <w:sz w:val="24"/>
          <w:szCs w:val="24"/>
        </w:rPr>
        <w:lastRenderedPageBreak/>
        <w:t xml:space="preserve"> Λαμβάνοντας υπόψη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:</w:t>
      </w:r>
    </w:p>
    <w:p w:rsidR="008E1EDE" w:rsidRPr="00664450" w:rsidRDefault="008E1EDE" w:rsidP="008E1EDE">
      <w:pPr>
        <w:numPr>
          <w:ilvl w:val="0"/>
          <w:numId w:val="13"/>
        </w:numPr>
        <w:tabs>
          <w:tab w:val="clear" w:pos="870"/>
        </w:tabs>
        <w:ind w:left="284" w:hanging="142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Τις διατάξεις των άρθρων 72 και 75 του Ν. 3852/2010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Την παρ 5 άρθρο 23 Ν. 3536/07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άρθρο 8 του Β.Δ. 17-5/15-6-59 (ΦΕΚ 114/59 τεύχος Α')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εγγ. ΥΠ.ΕΣ. 28376/18.07.2012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άρθρο 77 Ν. 4172/2013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 xml:space="preserve">Τον προϋπολογισμό του Δήμου, έτους </w:t>
      </w:r>
      <w:r>
        <w:rPr>
          <w:rFonts w:ascii="Arial" w:hAnsi="Arial" w:cs="Arial"/>
          <w:sz w:val="24"/>
          <w:szCs w:val="24"/>
        </w:rPr>
        <w:t>201</w:t>
      </w:r>
      <w:r w:rsidRPr="00664450">
        <w:rPr>
          <w:rFonts w:ascii="Arial" w:hAnsi="Arial" w:cs="Arial"/>
          <w:sz w:val="24"/>
          <w:szCs w:val="24"/>
        </w:rPr>
        <w:t xml:space="preserve">4, ο οποίος </w:t>
      </w:r>
      <w:r>
        <w:rPr>
          <w:rFonts w:ascii="Arial" w:hAnsi="Arial" w:cs="Arial"/>
          <w:sz w:val="24"/>
          <w:szCs w:val="24"/>
        </w:rPr>
        <w:t>ψηφίστηκε με την</w:t>
      </w:r>
      <w:r w:rsidRPr="00664450">
        <w:rPr>
          <w:rFonts w:ascii="Arial" w:hAnsi="Arial" w:cs="Arial"/>
          <w:sz w:val="24"/>
          <w:szCs w:val="24"/>
        </w:rPr>
        <w:t xml:space="preserve">  αριθμ. 370</w:t>
      </w:r>
      <w:r>
        <w:rPr>
          <w:rFonts w:ascii="Arial" w:hAnsi="Arial" w:cs="Arial"/>
          <w:sz w:val="24"/>
          <w:szCs w:val="24"/>
        </w:rPr>
        <w:t>/201</w:t>
      </w:r>
      <w:r w:rsidRPr="00664450">
        <w:rPr>
          <w:rFonts w:ascii="Arial" w:hAnsi="Arial" w:cs="Arial"/>
          <w:sz w:val="24"/>
          <w:szCs w:val="24"/>
        </w:rPr>
        <w:t>3 απόφασ</w:t>
      </w:r>
      <w:r>
        <w:rPr>
          <w:rFonts w:ascii="Arial" w:hAnsi="Arial" w:cs="Arial"/>
          <w:sz w:val="24"/>
          <w:szCs w:val="24"/>
        </w:rPr>
        <w:t>η  του Δη</w:t>
      </w:r>
      <w:r w:rsidRPr="00664450">
        <w:rPr>
          <w:rFonts w:ascii="Arial" w:hAnsi="Arial" w:cs="Arial"/>
          <w:sz w:val="24"/>
          <w:szCs w:val="24"/>
        </w:rPr>
        <w:t xml:space="preserve">μοτικού Συμβουλίου </w:t>
      </w:r>
      <w:r>
        <w:rPr>
          <w:rFonts w:ascii="Arial" w:hAnsi="Arial" w:cs="Arial"/>
          <w:sz w:val="24"/>
          <w:szCs w:val="24"/>
        </w:rPr>
        <w:t>και εγκρίθηκε με την αριθ.68722/55885/21.1.2014 απόφαση του Γενικού Γραμματέα Αποκεντρωμένης Διοίκησης Αττικής.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αριθ.8093/6770+ 6605/5518/14.2.2014 έγγραφο της Αποκεντρωμένης Διοίκησης Αττικής.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αριθ.9678/8134/25.2.2014</w:t>
      </w:r>
      <w:r w:rsidRPr="008B4D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έγγραφο της Αποκεντρωμένης Διοίκησης Αττικής.</w:t>
      </w:r>
    </w:p>
    <w:p w:rsidR="00BE2851" w:rsidRPr="003B1D2F" w:rsidRDefault="00BE2851" w:rsidP="006903CC">
      <w:pPr>
        <w:jc w:val="both"/>
        <w:rPr>
          <w:rFonts w:ascii="Arial" w:hAnsi="Arial" w:cs="Arial"/>
          <w:sz w:val="24"/>
          <w:szCs w:val="24"/>
        </w:rPr>
      </w:pPr>
    </w:p>
    <w:p w:rsidR="006903CC" w:rsidRDefault="006903CC" w:rsidP="006903CC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>προτείνε</w:t>
      </w:r>
      <w:r>
        <w:rPr>
          <w:rFonts w:ascii="Arial" w:hAnsi="Arial" w:cs="Arial"/>
          <w:sz w:val="24"/>
          <w:szCs w:val="24"/>
        </w:rPr>
        <w:t xml:space="preserve">ται η </w:t>
      </w:r>
      <w:r w:rsidRPr="00DB56E5">
        <w:rPr>
          <w:rFonts w:ascii="Arial" w:hAnsi="Arial" w:cs="Arial"/>
          <w:sz w:val="24"/>
          <w:szCs w:val="24"/>
        </w:rPr>
        <w:t xml:space="preserve"> </w:t>
      </w:r>
      <w:r w:rsidR="00BE2851">
        <w:rPr>
          <w:rFonts w:ascii="Arial" w:hAnsi="Arial" w:cs="Arial"/>
          <w:sz w:val="24"/>
          <w:szCs w:val="24"/>
        </w:rPr>
        <w:t>ψήφιση του σχεδίου</w:t>
      </w:r>
      <w:r>
        <w:rPr>
          <w:rFonts w:ascii="Arial" w:hAnsi="Arial" w:cs="Arial"/>
          <w:sz w:val="24"/>
          <w:szCs w:val="24"/>
        </w:rPr>
        <w:t xml:space="preserve">  της  </w:t>
      </w:r>
      <w:r w:rsidR="00E73051" w:rsidRPr="00E73051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  <w:vertAlign w:val="superscript"/>
        </w:rPr>
        <w:t xml:space="preserve">ης </w:t>
      </w:r>
      <w:r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 xml:space="preserve">αναμόρφωσης του προϋπολογισμού </w:t>
      </w:r>
      <w:r w:rsidR="00BE2851">
        <w:rPr>
          <w:rFonts w:ascii="Arial" w:hAnsi="Arial" w:cs="Arial"/>
          <w:sz w:val="24"/>
          <w:szCs w:val="24"/>
        </w:rPr>
        <w:t>από την Οικονομική Επιτροπή</w:t>
      </w:r>
      <w:r w:rsidRPr="00DB56E5">
        <w:rPr>
          <w:rFonts w:ascii="Arial" w:hAnsi="Arial" w:cs="Arial"/>
          <w:sz w:val="24"/>
          <w:szCs w:val="24"/>
        </w:rPr>
        <w:t xml:space="preserve"> . </w:t>
      </w:r>
    </w:p>
    <w:p w:rsidR="006903CC" w:rsidRPr="00DB56E5" w:rsidRDefault="006903CC" w:rsidP="006903CC">
      <w:pPr>
        <w:jc w:val="both"/>
        <w:rPr>
          <w:rFonts w:ascii="Arial" w:hAnsi="Arial" w:cs="Arial"/>
          <w:sz w:val="24"/>
          <w:szCs w:val="24"/>
        </w:rPr>
      </w:pPr>
    </w:p>
    <w:p w:rsidR="0016293B" w:rsidRDefault="008E1EDE" w:rsidP="008E1EDE">
      <w:pPr>
        <w:pStyle w:val="ad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1B2C89">
        <w:rPr>
          <w:rFonts w:ascii="Arial" w:hAnsi="Arial" w:cs="Arial"/>
          <w:sz w:val="24"/>
          <w:szCs w:val="24"/>
        </w:rPr>
        <w:t>Βάσε</w:t>
      </w:r>
      <w:r w:rsidR="006903CC">
        <w:rPr>
          <w:rFonts w:ascii="Arial" w:hAnsi="Arial" w:cs="Arial"/>
          <w:sz w:val="24"/>
          <w:szCs w:val="24"/>
        </w:rPr>
        <w:t xml:space="preserve">ι των ανωτέρω </w:t>
      </w:r>
      <w:r w:rsidR="006903CC" w:rsidRPr="006903CC">
        <w:rPr>
          <w:rFonts w:ascii="Arial" w:hAnsi="Arial" w:cs="Arial"/>
          <w:sz w:val="24"/>
          <w:szCs w:val="24"/>
        </w:rPr>
        <w:t xml:space="preserve"> </w:t>
      </w:r>
      <w:r w:rsidR="00BE2851">
        <w:rPr>
          <w:rFonts w:ascii="Arial" w:hAnsi="Arial" w:cs="Arial"/>
          <w:sz w:val="24"/>
          <w:szCs w:val="24"/>
        </w:rPr>
        <w:t xml:space="preserve">το σχέδιο </w:t>
      </w:r>
      <w:r w:rsidR="006903CC">
        <w:rPr>
          <w:rFonts w:ascii="Arial" w:hAnsi="Arial" w:cs="Arial"/>
          <w:sz w:val="24"/>
          <w:szCs w:val="24"/>
        </w:rPr>
        <w:t xml:space="preserve"> αναμόρφωση</w:t>
      </w:r>
      <w:r w:rsidR="00BE2851">
        <w:rPr>
          <w:rFonts w:ascii="Arial" w:hAnsi="Arial" w:cs="Arial"/>
          <w:sz w:val="24"/>
          <w:szCs w:val="24"/>
        </w:rPr>
        <w:t>ς</w:t>
      </w:r>
      <w:r>
        <w:rPr>
          <w:rFonts w:ascii="Arial" w:hAnsi="Arial" w:cs="Arial"/>
          <w:sz w:val="24"/>
          <w:szCs w:val="24"/>
        </w:rPr>
        <w:t xml:space="preserve"> έχει ως εξής:</w:t>
      </w:r>
    </w:p>
    <w:p w:rsidR="00BC34C3" w:rsidRDefault="00BC34C3" w:rsidP="00E3177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E31770" w:rsidRPr="00AF1B7A" w:rsidRDefault="00E31770" w:rsidP="00E3177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1. ΣΚΕΛΟΣ ΕΣ</w:t>
      </w:r>
      <w:r w:rsidRPr="00AF1B7A">
        <w:rPr>
          <w:rFonts w:ascii="Arial" w:hAnsi="Arial" w:cs="Arial"/>
          <w:b/>
          <w:bCs/>
          <w:sz w:val="22"/>
          <w:szCs w:val="22"/>
          <w:u w:val="single"/>
        </w:rPr>
        <w:t>ΟΔΩΝ</w:t>
      </w:r>
    </w:p>
    <w:p w:rsidR="00E37750" w:rsidRPr="00E37750" w:rsidRDefault="00E37750" w:rsidP="00E377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Η Ενίσχυση του  σκέλους εσόδων προκύπτει</w:t>
      </w:r>
      <w:r w:rsidR="00BD6966">
        <w:rPr>
          <w:rFonts w:ascii="Arial" w:hAnsi="Arial" w:cs="Arial"/>
          <w:sz w:val="24"/>
          <w:szCs w:val="24"/>
        </w:rPr>
        <w:t xml:space="preserve"> από την διαπίστωση ότι</w:t>
      </w:r>
      <w:r w:rsidRPr="00E37750">
        <w:rPr>
          <w:rFonts w:ascii="Arial" w:hAnsi="Arial" w:cs="Arial"/>
          <w:sz w:val="24"/>
          <w:szCs w:val="24"/>
        </w:rPr>
        <w:t>:</w:t>
      </w:r>
    </w:p>
    <w:p w:rsidR="00E37750" w:rsidRPr="003C35E2" w:rsidRDefault="00E37750" w:rsidP="00E377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1)</w:t>
      </w:r>
      <w:r w:rsidR="00BD6966">
        <w:rPr>
          <w:rFonts w:ascii="Arial" w:hAnsi="Arial" w:cs="Arial"/>
          <w:sz w:val="24"/>
          <w:szCs w:val="24"/>
        </w:rPr>
        <w:t xml:space="preserve"> Τ</w:t>
      </w:r>
      <w:r w:rsidRPr="00E37750">
        <w:rPr>
          <w:rFonts w:ascii="Arial" w:hAnsi="Arial" w:cs="Arial"/>
          <w:sz w:val="24"/>
          <w:szCs w:val="24"/>
        </w:rPr>
        <w:t xml:space="preserve">α έσοδα που αφορούν την κάλυψη δαπάνης των προνοιακών επιδομάτων  έτους 2014 πρέπει να διαμορφωθούν σε μεγαλύτερο ύψος από τα αρχικώς προϋπολογισθέντα,  σύμφωνα με το υπ’αριθ. </w:t>
      </w:r>
      <w:r w:rsidR="006C1797" w:rsidRPr="006C1797">
        <w:rPr>
          <w:rFonts w:ascii="Arial" w:hAnsi="Arial" w:cs="Arial"/>
          <w:sz w:val="24"/>
          <w:szCs w:val="24"/>
        </w:rPr>
        <w:t xml:space="preserve"> </w:t>
      </w:r>
      <w:r w:rsidRPr="00E37750">
        <w:rPr>
          <w:rFonts w:ascii="Arial" w:hAnsi="Arial" w:cs="Arial"/>
          <w:sz w:val="24"/>
          <w:szCs w:val="24"/>
        </w:rPr>
        <w:t>Πρωτ. 2852/28.8.2014 έγγραφο  της Διεύθυνσης Κοινωνικών Υπηρεσιών και συγκεκριμένα του τμήματος κοινωνικών υπηρεσιών και αρωγής προκειμένου να καταβληθούν στους δικαιούχους τα επιδόματα για το 4</w:t>
      </w:r>
      <w:r w:rsidRPr="00E37750">
        <w:rPr>
          <w:rFonts w:ascii="Arial" w:hAnsi="Arial" w:cs="Arial"/>
          <w:sz w:val="24"/>
          <w:szCs w:val="24"/>
          <w:vertAlign w:val="superscript"/>
        </w:rPr>
        <w:t>ο</w:t>
      </w:r>
      <w:r w:rsidRPr="00E37750">
        <w:rPr>
          <w:rFonts w:ascii="Arial" w:hAnsi="Arial" w:cs="Arial"/>
          <w:sz w:val="24"/>
          <w:szCs w:val="24"/>
        </w:rPr>
        <w:t xml:space="preserve"> δίμηνο 2014 (Ιούλιος Αύγουστος ) </w:t>
      </w:r>
      <w:r w:rsidR="00BD6966">
        <w:rPr>
          <w:rFonts w:ascii="Arial" w:hAnsi="Arial" w:cs="Arial"/>
          <w:sz w:val="24"/>
          <w:szCs w:val="24"/>
        </w:rPr>
        <w:t>.</w:t>
      </w:r>
    </w:p>
    <w:p w:rsidR="00E31770" w:rsidRDefault="00E37750" w:rsidP="00E31770">
      <w:pPr>
        <w:jc w:val="both"/>
        <w:rPr>
          <w:rFonts w:ascii="Arial" w:hAnsi="Arial" w:cs="Arial"/>
          <w:sz w:val="24"/>
          <w:szCs w:val="24"/>
        </w:rPr>
      </w:pPr>
      <w:r w:rsidRPr="00E37750">
        <w:rPr>
          <w:rFonts w:ascii="Arial" w:hAnsi="Arial" w:cs="Arial"/>
          <w:sz w:val="24"/>
          <w:szCs w:val="24"/>
        </w:rPr>
        <w:t>2)</w:t>
      </w:r>
      <w:r w:rsidR="001C7A1F">
        <w:rPr>
          <w:rFonts w:ascii="Arial" w:hAnsi="Arial" w:cs="Arial"/>
          <w:sz w:val="24"/>
          <w:szCs w:val="24"/>
        </w:rPr>
        <w:t xml:space="preserve">  Η ενίσχυση των κωδικών εσόδων </w:t>
      </w:r>
      <w:r w:rsidRPr="00B20A53">
        <w:rPr>
          <w:rFonts w:ascii="Arial" w:hAnsi="Arial" w:cs="Arial"/>
          <w:sz w:val="24"/>
          <w:szCs w:val="24"/>
        </w:rPr>
        <w:t xml:space="preserve">στους ΚΑ 1328.11 και ΚΑ 0619.07 </w:t>
      </w:r>
      <w:r w:rsidR="001C7A1F" w:rsidRPr="00B20A53">
        <w:rPr>
          <w:rFonts w:ascii="Arial" w:hAnsi="Arial" w:cs="Arial"/>
          <w:sz w:val="24"/>
          <w:szCs w:val="24"/>
        </w:rPr>
        <w:t xml:space="preserve">αφορά επιχορήγηση που δόθηκε στον Δήμο </w:t>
      </w:r>
      <w:r w:rsidRPr="00B20A53">
        <w:rPr>
          <w:rFonts w:ascii="Arial" w:hAnsi="Arial" w:cs="Arial"/>
          <w:sz w:val="24"/>
          <w:szCs w:val="24"/>
        </w:rPr>
        <w:t>από το Υπουργείο Εσωτερικών (ΕΣΠΑ) για την υποβολή φακέλου στο πρόγραμμα «εξοικονομώ» και για την κάλυψη των μισθωμάτων της πολεοδομίας</w:t>
      </w:r>
      <w:r w:rsidR="001C7A1F" w:rsidRPr="00B20A53">
        <w:rPr>
          <w:rFonts w:ascii="Arial" w:hAnsi="Arial" w:cs="Arial"/>
          <w:sz w:val="24"/>
          <w:szCs w:val="24"/>
        </w:rPr>
        <w:t xml:space="preserve"> αντίστοιχα</w:t>
      </w:r>
      <w:r w:rsidRPr="00B20A53">
        <w:rPr>
          <w:rFonts w:ascii="Arial" w:hAnsi="Arial" w:cs="Arial"/>
          <w:sz w:val="24"/>
          <w:szCs w:val="24"/>
        </w:rPr>
        <w:t xml:space="preserve"> .</w:t>
      </w:r>
      <w:r w:rsidR="00B20A53">
        <w:rPr>
          <w:rFonts w:ascii="Arial" w:hAnsi="Arial" w:cs="Arial"/>
          <w:sz w:val="24"/>
          <w:szCs w:val="24"/>
        </w:rPr>
        <w:t>Η ενίσχυση του ΚΑ 4123.01 αφόρα την λογιστική τακτοποίηση των κρατήσεων.</w:t>
      </w:r>
    </w:p>
    <w:p w:rsidR="00E37750" w:rsidRPr="002D005F" w:rsidRDefault="00E37750" w:rsidP="00E3177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939" w:type="dxa"/>
        <w:tblInd w:w="92" w:type="dxa"/>
        <w:tblLayout w:type="fixed"/>
        <w:tblLook w:val="04A0"/>
      </w:tblPr>
      <w:tblGrid>
        <w:gridCol w:w="1300"/>
        <w:gridCol w:w="2544"/>
        <w:gridCol w:w="1559"/>
        <w:gridCol w:w="1276"/>
        <w:gridCol w:w="1559"/>
        <w:gridCol w:w="1701"/>
      </w:tblGrid>
      <w:tr w:rsidR="00E31770" w:rsidRPr="007A731A" w:rsidTr="00014E7B">
        <w:trPr>
          <w:trHeight w:val="6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E31770" w:rsidRPr="007A731A" w:rsidRDefault="00E31770" w:rsidP="00ED48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ΚΩΔΙΚΟΣ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E31770" w:rsidRPr="007A731A" w:rsidRDefault="00E31770" w:rsidP="00ED48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E31770" w:rsidRPr="007A731A" w:rsidRDefault="00E31770" w:rsidP="00ED48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ΠΡΟΗΓΟΥΜΕΝΗ  ΠΙΣΤΩΣΗ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E31770" w:rsidRPr="007A731A" w:rsidRDefault="00E31770" w:rsidP="00ED48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 (ΑΥΞΗΣΗ)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E31770" w:rsidRPr="007A731A" w:rsidRDefault="00E31770" w:rsidP="00ED48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ΤΕΛΙΚΗ ΠΙΣΤΩΣΗ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E31770" w:rsidRDefault="00E31770" w:rsidP="00ED48C8">
            <w:pPr>
              <w:ind w:right="-427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E31770" w:rsidRPr="007A1702" w:rsidRDefault="00E31770" w:rsidP="00ED48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ΠΑΡΑΤΗΡΗΣΕΙΣ</w:t>
            </w:r>
          </w:p>
        </w:tc>
      </w:tr>
      <w:tr w:rsidR="00074D6F" w:rsidRPr="007A731A" w:rsidTr="00014E7B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Pr="00A15C55" w:rsidRDefault="00074D6F" w:rsidP="00074D6F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0621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Default="00074D6F" w:rsidP="00074D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Κάλυψη δαπάνης των προνοιακών</w:t>
            </w:r>
            <w:r w:rsidRPr="00074D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επιδομάτων</w:t>
            </w:r>
          </w:p>
          <w:p w:rsidR="00074D6F" w:rsidRPr="007A731A" w:rsidRDefault="00074D6F" w:rsidP="00074D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A15C55" w:rsidRDefault="00074D6F" w:rsidP="0007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28.183.139,50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A15C55" w:rsidRDefault="00074D6F" w:rsidP="0007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8.848,04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A15C55" w:rsidRDefault="00074D6F" w:rsidP="00074D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28.191.987,54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D6F" w:rsidRPr="006775E2" w:rsidRDefault="00BC34C3" w:rsidP="00074D6F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Έγγραφο κοιν. υπηρεσιών και αρωγής  αρ.2852/14</w:t>
            </w:r>
          </w:p>
        </w:tc>
      </w:tr>
      <w:tr w:rsidR="00074D6F" w:rsidRPr="007A731A" w:rsidTr="00014E7B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Pr="007A731A" w:rsidRDefault="00074D6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1328.11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Default="00074D6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Έσοδα από το ΕΣΠΑ  για την υποβολή του φακέλου  της  ένταξης στο πρόγραμμα "ΕΞΟΙΚΟΝΟΜΩ".</w:t>
            </w:r>
          </w:p>
          <w:p w:rsidR="00074D6F" w:rsidRPr="007A731A" w:rsidRDefault="00074D6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20.944,00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20.944,00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D6F" w:rsidRDefault="00074D6F" w:rsidP="00ED48C8">
            <w:pPr>
              <w:ind w:right="-42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74D6F" w:rsidRPr="006775E2" w:rsidRDefault="00074D6F" w:rsidP="00ED48C8">
            <w:pPr>
              <w:ind w:firstLine="3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Επιχορήγηση από το ΕΣΠΑ για την υποβολή φακέλου στο πρόγραμμα </w:t>
            </w:r>
            <w:r w:rsidRPr="00E41B74">
              <w:rPr>
                <w:rFonts w:ascii="Calibri" w:hAnsi="Calibri" w:cs="Calibri"/>
              </w:rPr>
              <w:t>«ΕΞΟΙΚΟΝΟΜΩ»</w:t>
            </w:r>
          </w:p>
        </w:tc>
      </w:tr>
      <w:tr w:rsidR="00074D6F" w:rsidRPr="007A731A" w:rsidTr="00014E7B">
        <w:trPr>
          <w:trHeight w:val="117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Pr="007A731A" w:rsidRDefault="00074D6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0619.07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Default="00074D6F" w:rsidP="007D51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Έσοδα για την κάλυψη μισθωμάτων ακινήτων που στεγάζονται Υπηρεσίες Πολεοδομίας και Πρόνοιας</w:t>
            </w:r>
          </w:p>
          <w:p w:rsidR="00074D6F" w:rsidRPr="007A731A" w:rsidRDefault="00074D6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58.333,12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58.333,12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116.666,24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D6F" w:rsidRPr="000F5C85" w:rsidRDefault="00E37750" w:rsidP="00ED48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Χρηματική εντολή του ΥΠΕΣ αρ.30589/14</w:t>
            </w:r>
          </w:p>
        </w:tc>
      </w:tr>
      <w:tr w:rsidR="001C7A1F" w:rsidRPr="007A731A" w:rsidTr="00014E7B">
        <w:trPr>
          <w:trHeight w:val="117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A1F" w:rsidRDefault="001C7A1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4123.01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A1F" w:rsidRDefault="001C7A1F" w:rsidP="001C7A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Φόρος Προμηθευτών 1%,4%,8%</w:t>
            </w:r>
          </w:p>
          <w:p w:rsidR="001C7A1F" w:rsidRDefault="001C7A1F" w:rsidP="007D51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A1F" w:rsidRDefault="001C7A1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46.401,56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A1F" w:rsidRDefault="001C7A1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A1F" w:rsidRDefault="001C7A1F" w:rsidP="00ED48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89.401,56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A1F" w:rsidRDefault="00F917F0" w:rsidP="00ED48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Αφορά την λογιστική τακτοποίηση για την απόδοση κρατήσεων των φόρων προμηθευτών και αναγράφεται και ως  έξοδο στους ΚΑ 80.8223.03 και ΚΑ 80.8223.05</w:t>
            </w:r>
          </w:p>
        </w:tc>
      </w:tr>
      <w:tr w:rsidR="00074D6F" w:rsidRPr="007A731A" w:rsidTr="00014E7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074D6F" w:rsidP="00ED48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6F" w:rsidRPr="007A731A" w:rsidRDefault="00074D6F" w:rsidP="00ED48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827EE2" w:rsidP="009521B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074D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E05E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E05E72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28.287.874,18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F54702" w:rsidRDefault="00827EE2" w:rsidP="00E05E7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fldChar w:fldCharType="begin"/>
            </w:r>
            <w:r w:rsidR="00BC34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fldChar w:fldCharType="end"/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fldChar w:fldCharType="begin"/>
            </w:r>
            <w:r w:rsidR="00E05E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fldChar w:fldCharType="separate"/>
            </w:r>
            <w:r w:rsidR="00E05E72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  <w:lang w:val="en-US"/>
              </w:rPr>
              <w:t>131.125,16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D6F" w:rsidRPr="007A731A" w:rsidRDefault="00827EE2" w:rsidP="00E05E7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E05E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E05E72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28.418.999,34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D6F" w:rsidRDefault="00074D6F" w:rsidP="00ED48C8">
            <w:pPr>
              <w:ind w:right="-427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31770" w:rsidRDefault="00E31770" w:rsidP="00E31770">
      <w:pPr>
        <w:jc w:val="both"/>
        <w:rPr>
          <w:rFonts w:ascii="Arial" w:hAnsi="Arial" w:cs="Arial"/>
          <w:sz w:val="24"/>
          <w:szCs w:val="24"/>
        </w:rPr>
      </w:pPr>
    </w:p>
    <w:p w:rsidR="008612CC" w:rsidRDefault="008612CC" w:rsidP="00031119">
      <w:pPr>
        <w:jc w:val="both"/>
        <w:rPr>
          <w:rFonts w:ascii="Arial" w:hAnsi="Arial" w:cs="Arial"/>
          <w:sz w:val="24"/>
          <w:szCs w:val="24"/>
        </w:rPr>
      </w:pPr>
    </w:p>
    <w:p w:rsidR="008612CC" w:rsidRDefault="008612CC" w:rsidP="00031119">
      <w:pPr>
        <w:jc w:val="both"/>
        <w:rPr>
          <w:rFonts w:ascii="Arial" w:hAnsi="Arial" w:cs="Arial"/>
          <w:sz w:val="24"/>
          <w:szCs w:val="24"/>
        </w:rPr>
      </w:pPr>
    </w:p>
    <w:p w:rsidR="008612CC" w:rsidRPr="00B54A73" w:rsidRDefault="008612CC" w:rsidP="00031119">
      <w:pPr>
        <w:jc w:val="both"/>
        <w:rPr>
          <w:rFonts w:ascii="Arial" w:hAnsi="Arial" w:cs="Arial"/>
          <w:sz w:val="24"/>
          <w:szCs w:val="24"/>
        </w:rPr>
      </w:pPr>
    </w:p>
    <w:p w:rsidR="00031119" w:rsidRDefault="003151D0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1F42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031119" w:rsidRPr="00AF1B7A">
        <w:rPr>
          <w:rFonts w:ascii="Arial" w:hAnsi="Arial" w:cs="Arial"/>
          <w:b/>
          <w:bCs/>
          <w:sz w:val="22"/>
          <w:szCs w:val="22"/>
          <w:u w:val="single"/>
        </w:rPr>
        <w:t>. ΣΚΕΛΟΣ ΕΞΟΔΩΝ</w:t>
      </w:r>
    </w:p>
    <w:p w:rsidR="00226043" w:rsidRDefault="00226043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31612C" w:rsidRDefault="0031612C" w:rsidP="0031612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Α. ΜΕΙΩΣΗ ΕΓΓΕΓΡΑΜΕΝΩΝ ΠΙΣΤΩΣΕΩΝ</w:t>
      </w:r>
      <w:r w:rsidRPr="000672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ΜΕ ΑΝΤΙΣΤΟΙΧΗ ΑΥΞΗΣΗ ΤΟΥ ΑΠΟΘΕΜΑΤΙΚΟΥ</w:t>
      </w:r>
    </w:p>
    <w:p w:rsidR="003C35E2" w:rsidRPr="003C35E2" w:rsidRDefault="003C35E2" w:rsidP="003161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67F1A">
        <w:rPr>
          <w:rFonts w:ascii="Arial" w:hAnsi="Arial" w:cs="Arial"/>
          <w:sz w:val="24"/>
          <w:szCs w:val="24"/>
        </w:rPr>
        <w:t xml:space="preserve">Μειώνονται οι κατωτέρω κωδικοί του προϋπολογισμού με αντίστοιχη αύξηση του αποθεματικού </w:t>
      </w:r>
      <w:r w:rsidR="00A65CAA" w:rsidRPr="00A67F1A">
        <w:rPr>
          <w:rFonts w:ascii="Arial" w:hAnsi="Arial" w:cs="Arial"/>
          <w:sz w:val="24"/>
          <w:szCs w:val="24"/>
        </w:rPr>
        <w:t>διότι μετά από  έλεγχο</w:t>
      </w:r>
      <w:r w:rsidR="006C1797" w:rsidRPr="006C1797">
        <w:rPr>
          <w:rFonts w:ascii="Arial" w:hAnsi="Arial" w:cs="Arial"/>
          <w:sz w:val="24"/>
          <w:szCs w:val="24"/>
        </w:rPr>
        <w:t xml:space="preserve">, </w:t>
      </w:r>
      <w:r w:rsidR="00A67F1A" w:rsidRPr="00A67F1A">
        <w:rPr>
          <w:rFonts w:ascii="Arial" w:hAnsi="Arial" w:cs="Arial"/>
          <w:sz w:val="24"/>
          <w:szCs w:val="24"/>
        </w:rPr>
        <w:t>προέκυψε ότι</w:t>
      </w:r>
      <w:r w:rsidR="00A65CAA" w:rsidRPr="00A67F1A">
        <w:rPr>
          <w:rFonts w:ascii="Arial" w:hAnsi="Arial" w:cs="Arial"/>
          <w:sz w:val="24"/>
          <w:szCs w:val="24"/>
        </w:rPr>
        <w:t xml:space="preserve"> </w:t>
      </w:r>
      <w:r w:rsidRPr="00A67F1A">
        <w:rPr>
          <w:rFonts w:ascii="Arial" w:hAnsi="Arial" w:cs="Arial"/>
          <w:sz w:val="24"/>
          <w:szCs w:val="24"/>
        </w:rPr>
        <w:t xml:space="preserve">  ποσά </w:t>
      </w:r>
      <w:r w:rsidR="00A67F1A" w:rsidRPr="00A67F1A">
        <w:rPr>
          <w:rFonts w:ascii="Arial" w:hAnsi="Arial" w:cs="Arial"/>
          <w:sz w:val="24"/>
          <w:szCs w:val="24"/>
        </w:rPr>
        <w:t xml:space="preserve"> που είχαν αρχικώς  προϋπολογιστεί ήταν μεγαλύτερα από τα </w:t>
      </w:r>
      <w:r w:rsidR="006C1797" w:rsidRPr="006C1797">
        <w:rPr>
          <w:rFonts w:ascii="Arial" w:hAnsi="Arial" w:cs="Arial"/>
          <w:sz w:val="24"/>
          <w:szCs w:val="24"/>
        </w:rPr>
        <w:t xml:space="preserve"> </w:t>
      </w:r>
      <w:r w:rsidR="006C1797">
        <w:rPr>
          <w:rFonts w:ascii="Arial" w:hAnsi="Arial" w:cs="Arial"/>
          <w:sz w:val="24"/>
          <w:szCs w:val="24"/>
        </w:rPr>
        <w:t xml:space="preserve">τελικώς </w:t>
      </w:r>
      <w:r w:rsidR="00A67F1A" w:rsidRPr="00A67F1A">
        <w:rPr>
          <w:rFonts w:ascii="Arial" w:hAnsi="Arial" w:cs="Arial"/>
          <w:sz w:val="24"/>
          <w:szCs w:val="24"/>
        </w:rPr>
        <w:t xml:space="preserve">διαμορφωθέντα. </w:t>
      </w:r>
    </w:p>
    <w:tbl>
      <w:tblPr>
        <w:tblW w:w="5343" w:type="pct"/>
        <w:tblInd w:w="-318" w:type="dxa"/>
        <w:tblLook w:val="04A0"/>
      </w:tblPr>
      <w:tblGrid>
        <w:gridCol w:w="1024"/>
        <w:gridCol w:w="1193"/>
        <w:gridCol w:w="375"/>
        <w:gridCol w:w="3168"/>
        <w:gridCol w:w="1687"/>
        <w:gridCol w:w="1260"/>
        <w:gridCol w:w="1217"/>
      </w:tblGrid>
      <w:tr w:rsidR="0031612C" w:rsidRPr="003C35E2" w:rsidTr="00D43F66">
        <w:trPr>
          <w:trHeight w:val="279"/>
        </w:trPr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3C35E2" w:rsidRDefault="0031612C" w:rsidP="005976CC">
            <w:pPr>
              <w:rPr>
                <w:rFonts w:ascii="Arial Greek" w:hAnsi="Arial Greek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3C35E2" w:rsidRDefault="0031612C" w:rsidP="005976CC"/>
        </w:tc>
        <w:tc>
          <w:tcPr>
            <w:tcW w:w="18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3C35E2" w:rsidRDefault="0031612C" w:rsidP="005976CC">
            <w:pPr>
              <w:rPr>
                <w:rFonts w:ascii="Arial Greek" w:hAnsi="Arial Greek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3C35E2" w:rsidRDefault="0031612C" w:rsidP="005976CC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3C35E2" w:rsidRDefault="0031612C" w:rsidP="005976CC">
            <w:pPr>
              <w:rPr>
                <w:rFonts w:ascii="Arial Greek" w:hAnsi="Arial Greek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12C" w:rsidRPr="003C35E2" w:rsidRDefault="0031612C" w:rsidP="005976CC">
            <w:pPr>
              <w:rPr>
                <w:rFonts w:ascii="Arial Greek" w:hAnsi="Arial Greek"/>
              </w:rPr>
            </w:pPr>
          </w:p>
        </w:tc>
      </w:tr>
      <w:tr w:rsidR="0031612C" w:rsidRPr="00AF1B7A" w:rsidTr="00D43F66">
        <w:trPr>
          <w:trHeight w:val="255"/>
        </w:trPr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A225D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</w:t>
            </w:r>
            <w:r w:rsidR="00A225DA">
              <w:rPr>
                <w:rFonts w:ascii="Arial" w:hAnsi="Arial" w:cs="Arial"/>
                <w:b/>
                <w:bCs/>
              </w:rPr>
              <w:t>ΕΡΙΓΡΑΦΗ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A225D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</w:t>
            </w:r>
            <w:r w:rsidR="00A225DA">
              <w:rPr>
                <w:rFonts w:ascii="Arial" w:hAnsi="Arial" w:cs="Arial"/>
                <w:b/>
                <w:bCs/>
              </w:rPr>
              <w:t>ΟΣΟ</w:t>
            </w:r>
            <w:r w:rsidRPr="00AF1B7A">
              <w:rPr>
                <w:rFonts w:ascii="Arial" w:hAnsi="Arial" w:cs="Arial"/>
                <w:b/>
                <w:bCs/>
              </w:rPr>
              <w:t xml:space="preserve"> (Μείωση)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31612C" w:rsidRPr="00AF1B7A" w:rsidRDefault="0031612C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</w:tr>
      <w:tr w:rsidR="0031612C" w:rsidRPr="00AF1B7A" w:rsidTr="00D43F66">
        <w:trPr>
          <w:trHeight w:val="360"/>
        </w:trPr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1612C" w:rsidRPr="00AF1B7A" w:rsidRDefault="0031612C" w:rsidP="005976C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1612C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12C" w:rsidRPr="00C05613" w:rsidRDefault="00F9592B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12C" w:rsidRPr="00F9592B" w:rsidRDefault="00F9592B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6012.01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Default="00F9592B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</w:t>
            </w:r>
          </w:p>
          <w:p w:rsidR="0031612C" w:rsidRDefault="0031612C" w:rsidP="00884F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12C" w:rsidRPr="002321BF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25.300,00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12C" w:rsidRPr="002321BF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3.000,00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12C" w:rsidRPr="002321BF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22.300,00</w:t>
            </w:r>
          </w:p>
        </w:tc>
      </w:tr>
      <w:tr w:rsidR="00F9592B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92B" w:rsidRDefault="00F9592B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2B" w:rsidRDefault="00F9592B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6022.01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Default="00F9592B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αορίστου χρόνου</w:t>
            </w:r>
          </w:p>
          <w:p w:rsidR="00F9592B" w:rsidRDefault="00F9592B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F9592B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F9592B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3.000,00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F9592B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7.000,00</w:t>
            </w:r>
          </w:p>
        </w:tc>
      </w:tr>
      <w:tr w:rsidR="00F9592B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92B" w:rsidRPr="00F9592B" w:rsidRDefault="00F9592B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2B" w:rsidRPr="00F9592B" w:rsidRDefault="00F9592B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6022.01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Default="00F9592B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592B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αορίστου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F9592B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9.700,00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F9592B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4.000,00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F9592B" w:rsidRDefault="00F9592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5.700,00</w:t>
            </w:r>
          </w:p>
        </w:tc>
      </w:tr>
      <w:tr w:rsidR="00F9592B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92B" w:rsidRPr="0092025B" w:rsidRDefault="0092025B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2B" w:rsidRPr="0092025B" w:rsidRDefault="0092025B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6042.01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Default="0092025B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2025B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ορισμένου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92025B" w:rsidRDefault="0092025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4.100,00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92025B" w:rsidRDefault="0092025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2.000,00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92025B" w:rsidRDefault="0092025B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2.100,00</w:t>
            </w:r>
          </w:p>
        </w:tc>
      </w:tr>
      <w:tr w:rsidR="00F9592B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92B" w:rsidRPr="0043002B" w:rsidRDefault="0043002B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20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2B" w:rsidRPr="0043002B" w:rsidRDefault="0043002B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6022.01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Default="00ED48C8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48C8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αορίστου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1.500,00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22.500,00</w:t>
            </w:r>
          </w:p>
        </w:tc>
      </w:tr>
      <w:tr w:rsidR="00F9592B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92B" w:rsidRPr="00ED48C8" w:rsidRDefault="00ED48C8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lastRenderedPageBreak/>
              <w:t>70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2B" w:rsidRPr="00ED48C8" w:rsidRDefault="00ED48C8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6022.01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Default="00ED48C8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48C8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αορίστου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1.700,00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1.700,00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92B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0,00</w:t>
            </w:r>
          </w:p>
        </w:tc>
      </w:tr>
      <w:tr w:rsidR="00ED48C8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8C8" w:rsidRPr="00ED48C8" w:rsidRDefault="00ED48C8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70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8C8" w:rsidRPr="00ED48C8" w:rsidRDefault="00ED48C8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6042.01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Default="00ED48C8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48C8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ορισμένου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1.300,00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1.300,00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ED48C8" w:rsidRDefault="00ED48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0,00</w:t>
            </w:r>
          </w:p>
        </w:tc>
      </w:tr>
      <w:tr w:rsidR="00ED48C8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8C8" w:rsidRPr="00ED48C8" w:rsidRDefault="00ED48C8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45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8C8" w:rsidRPr="00ED48C8" w:rsidRDefault="00ED48C8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6042.01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Default="00ED48C8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48C8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ορισμένου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8A0EC8" w:rsidRDefault="008A0E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7.600,00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8A0EC8" w:rsidRDefault="008A0E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8A0EC8" w:rsidRDefault="008A0EC8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6.900,00</w:t>
            </w:r>
          </w:p>
        </w:tc>
      </w:tr>
      <w:tr w:rsidR="00ED48C8" w:rsidRPr="00AF1B7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8C8" w:rsidRPr="00DD1A97" w:rsidRDefault="00065161" w:rsidP="002321BF">
            <w:pPr>
              <w:jc w:val="center"/>
              <w:rPr>
                <w:rFonts w:ascii="Arial Greek" w:hAnsi="Arial Greek"/>
                <w:lang w:val="en-US"/>
              </w:rPr>
            </w:pPr>
            <w:r w:rsidRPr="00DD1A97">
              <w:rPr>
                <w:rFonts w:ascii="Arial Greek" w:hAnsi="Arial Greek"/>
                <w:lang w:val="en-US"/>
              </w:rPr>
              <w:t>20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8C8" w:rsidRPr="00DD1A97" w:rsidRDefault="00DD1A97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D1A97">
              <w:rPr>
                <w:rFonts w:ascii="Calibri" w:hAnsi="Calibri" w:cs="Calibri"/>
                <w:color w:val="000000"/>
                <w:sz w:val="22"/>
                <w:szCs w:val="22"/>
              </w:rPr>
              <w:t>6641.04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DD1A97" w:rsidRDefault="00DD1A97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D1A97">
              <w:rPr>
                <w:rFonts w:ascii="Calibri" w:hAnsi="Calibri" w:cs="Calibri"/>
                <w:color w:val="000000"/>
                <w:sz w:val="22"/>
                <w:szCs w:val="22"/>
              </w:rPr>
              <w:t>Προμήθεια πετρελαίου, βενζίνης και λιπαντικών οχημάτων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DD1A97" w:rsidRDefault="00DB4B62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482.478,44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161" w:rsidRPr="00DB4B62" w:rsidRDefault="00D60C19" w:rsidP="00DB4B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="00DB4B62">
              <w:rPr>
                <w:rFonts w:ascii="Arial" w:hAnsi="Arial" w:cs="Arial"/>
              </w:rPr>
              <w:t>.795,80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C8" w:rsidRPr="00DD1A97" w:rsidRDefault="00D60C19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</w:t>
            </w:r>
            <w:r w:rsidR="00DB4B62">
              <w:rPr>
                <w:rFonts w:ascii="Arial" w:hAnsi="Arial" w:cs="Arial"/>
              </w:rPr>
              <w:t>.682,64</w:t>
            </w:r>
          </w:p>
        </w:tc>
      </w:tr>
      <w:tr w:rsidR="0001048A" w:rsidRPr="00556DA7" w:rsidTr="00ED3F9F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DA7" w:rsidRPr="00556DA7" w:rsidRDefault="00556DA7" w:rsidP="00556DA7">
            <w:pPr>
              <w:jc w:val="center"/>
              <w:rPr>
                <w:rFonts w:ascii="Arial Greek" w:hAnsi="Arial Greek"/>
              </w:rPr>
            </w:pPr>
          </w:p>
          <w:p w:rsidR="00556DA7" w:rsidRPr="00556DA7" w:rsidRDefault="00556DA7" w:rsidP="00556DA7">
            <w:pPr>
              <w:jc w:val="center"/>
              <w:rPr>
                <w:rFonts w:ascii="Arial Greek" w:hAnsi="Arial Greek"/>
              </w:rPr>
            </w:pPr>
          </w:p>
          <w:p w:rsidR="00556DA7" w:rsidRPr="00556DA7" w:rsidRDefault="00556DA7" w:rsidP="00556DA7">
            <w:pPr>
              <w:jc w:val="center"/>
              <w:rPr>
                <w:rFonts w:ascii="Arial Greek" w:hAnsi="Arial Greek"/>
              </w:rPr>
            </w:pPr>
          </w:p>
          <w:p w:rsidR="0001048A" w:rsidRPr="00556DA7" w:rsidRDefault="00556DA7" w:rsidP="00556DA7">
            <w:pPr>
              <w:jc w:val="center"/>
              <w:rPr>
                <w:rFonts w:ascii="Arial Greek" w:hAnsi="Arial Greek"/>
              </w:rPr>
            </w:pPr>
            <w:r w:rsidRPr="00556DA7">
              <w:rPr>
                <w:rFonts w:ascii="Arial Greek" w:hAnsi="Arial Greek"/>
              </w:rPr>
              <w:t>45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7A" w:rsidRPr="00556DA7" w:rsidRDefault="00F84B7A" w:rsidP="00ED3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84B7A" w:rsidRPr="00556DA7" w:rsidRDefault="00F84B7A" w:rsidP="00ED3F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F84B7A" w:rsidRPr="00556DA7" w:rsidRDefault="00F84B7A" w:rsidP="00ED3F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1048A" w:rsidRPr="00556DA7" w:rsidRDefault="00F84B7A" w:rsidP="00ED3F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6DA7">
              <w:rPr>
                <w:rFonts w:ascii="Calibri" w:hAnsi="Calibri" w:cs="Calibri"/>
                <w:sz w:val="22"/>
                <w:szCs w:val="22"/>
              </w:rPr>
              <w:t>6041.01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48A" w:rsidRPr="00556DA7" w:rsidRDefault="00F84B7A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6DA7">
              <w:rPr>
                <w:rFonts w:ascii="Calibri" w:hAnsi="Calibri" w:cs="Calibri"/>
                <w:color w:val="000000"/>
                <w:sz w:val="22"/>
                <w:szCs w:val="22"/>
              </w:rPr>
              <w:t>Αποδοχές εκτάκτων υπαλλήλων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48A" w:rsidRPr="00556DA7" w:rsidRDefault="00556DA7" w:rsidP="00884F57">
            <w:pPr>
              <w:jc w:val="right"/>
              <w:rPr>
                <w:rFonts w:ascii="Arial" w:hAnsi="Arial" w:cs="Arial"/>
              </w:rPr>
            </w:pPr>
            <w:r w:rsidRPr="00556DA7">
              <w:rPr>
                <w:rFonts w:ascii="Arial" w:hAnsi="Arial" w:cs="Arial"/>
              </w:rPr>
              <w:t>42.000,00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48A" w:rsidRPr="00556DA7" w:rsidRDefault="00556DA7" w:rsidP="00884F57">
            <w:pPr>
              <w:jc w:val="right"/>
              <w:rPr>
                <w:rFonts w:ascii="Arial" w:hAnsi="Arial" w:cs="Arial"/>
              </w:rPr>
            </w:pPr>
            <w:r w:rsidRPr="00556DA7">
              <w:rPr>
                <w:rFonts w:ascii="Arial" w:hAnsi="Arial" w:cs="Arial"/>
              </w:rPr>
              <w:t>9</w:t>
            </w:r>
            <w:r w:rsidR="000B04AA">
              <w:rPr>
                <w:rFonts w:ascii="Arial" w:hAnsi="Arial" w:cs="Arial"/>
              </w:rPr>
              <w:t>.</w:t>
            </w:r>
            <w:r w:rsidRPr="00556DA7">
              <w:rPr>
                <w:rFonts w:ascii="Arial" w:hAnsi="Arial" w:cs="Arial"/>
              </w:rPr>
              <w:t>000,00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48A" w:rsidRPr="00556DA7" w:rsidRDefault="00556DA7" w:rsidP="00884F57">
            <w:pPr>
              <w:jc w:val="right"/>
              <w:rPr>
                <w:rFonts w:ascii="Arial" w:hAnsi="Arial" w:cs="Arial"/>
              </w:rPr>
            </w:pPr>
            <w:r w:rsidRPr="00556DA7">
              <w:rPr>
                <w:rFonts w:ascii="Arial" w:hAnsi="Arial" w:cs="Arial"/>
              </w:rPr>
              <w:t>33.000,00</w:t>
            </w:r>
          </w:p>
        </w:tc>
      </w:tr>
      <w:tr w:rsidR="00F84B7A" w:rsidRPr="00AF1B7A" w:rsidTr="00ED3F9F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B7A" w:rsidRPr="00556DA7" w:rsidRDefault="00F84B7A" w:rsidP="002321BF">
            <w:pPr>
              <w:jc w:val="center"/>
              <w:rPr>
                <w:rFonts w:ascii="Arial Greek" w:hAnsi="Arial Greek"/>
              </w:rPr>
            </w:pPr>
            <w:r w:rsidRPr="00556DA7">
              <w:rPr>
                <w:rFonts w:ascii="Arial Greek" w:hAnsi="Arial Greek"/>
              </w:rPr>
              <w:t>45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B7A" w:rsidRPr="00556DA7" w:rsidRDefault="00556DA7" w:rsidP="00ED3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6DA7">
              <w:rPr>
                <w:rFonts w:ascii="Calibri" w:hAnsi="Calibri" w:cs="Calibri"/>
                <w:color w:val="000000"/>
                <w:sz w:val="22"/>
                <w:szCs w:val="22"/>
              </w:rPr>
              <w:t>6042.01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B7A" w:rsidRPr="0001048A" w:rsidRDefault="00556DA7" w:rsidP="00F9592B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556DA7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ορισμένου χρόνου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B7A" w:rsidRPr="00556DA7" w:rsidRDefault="00556DA7" w:rsidP="00884F57">
            <w:pPr>
              <w:jc w:val="right"/>
              <w:rPr>
                <w:rFonts w:ascii="Arial" w:hAnsi="Arial" w:cs="Arial"/>
              </w:rPr>
            </w:pPr>
            <w:r w:rsidRPr="00556DA7">
              <w:rPr>
                <w:rFonts w:ascii="Arial" w:hAnsi="Arial" w:cs="Arial"/>
              </w:rPr>
              <w:t>7.600,00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B7A" w:rsidRPr="00556DA7" w:rsidRDefault="00556DA7" w:rsidP="008731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8731A0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B7A" w:rsidRPr="00556DA7" w:rsidRDefault="008731A0" w:rsidP="00884F57">
            <w:pPr>
              <w:jc w:val="right"/>
              <w:rPr>
                <w:rFonts w:ascii="Arial" w:hAnsi="Arial" w:cs="Arial"/>
                <w:highlight w:val="yellow"/>
              </w:rPr>
            </w:pPr>
            <w:r w:rsidRPr="008731A0">
              <w:rPr>
                <w:rFonts w:ascii="Arial" w:hAnsi="Arial" w:cs="Arial"/>
              </w:rPr>
              <w:t>4.900,00</w:t>
            </w:r>
          </w:p>
        </w:tc>
      </w:tr>
      <w:tr w:rsidR="00D8720A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0A" w:rsidRPr="00D8720A" w:rsidRDefault="00D8720A" w:rsidP="002321BF">
            <w:pPr>
              <w:jc w:val="center"/>
              <w:rPr>
                <w:rFonts w:ascii="Arial Greek" w:hAnsi="Arial Greek"/>
              </w:rPr>
            </w:pPr>
            <w:r w:rsidRPr="00D8720A">
              <w:rPr>
                <w:rFonts w:ascii="Arial Greek" w:hAnsi="Arial Greek"/>
              </w:rPr>
              <w:t>30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0A" w:rsidRPr="00D8720A" w:rsidRDefault="00D8720A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6261.11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D8720A" w:rsidRDefault="00D8720A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720A">
              <w:rPr>
                <w:rFonts w:ascii="Calibri" w:hAnsi="Calibri" w:cs="Calibri"/>
                <w:color w:val="000000"/>
                <w:sz w:val="22"/>
                <w:szCs w:val="22"/>
              </w:rPr>
              <w:t>Αναβάθμιση ανελκυστήρων σχολικών κτιρίων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D8720A" w:rsidRDefault="00D8720A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24.600,00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D8720A" w:rsidRDefault="00D8720A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24.600,00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D8720A" w:rsidRDefault="00D8720A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D8720A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0A" w:rsidRP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0A" w:rsidRP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6117.26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D8720A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Κτηνιατρικές πράξεις - εργασίες - νοσηλείες που αφορούν αδέσποτα ζώα του Δήμου μας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184,32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20A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19.815,68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35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6117.79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Εργασίες κοπής, κλαδέματος δένδρων κλπ με ανυψωτικό μηχάνημα σε ύψος μεγαλύτερο των 15 μ.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24.600,00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2.511,66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22.088,34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6613.02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Προμήθεια φωτοαντιγραφικού &amp; μηχανογραφικού χαρτιού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4.539,04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5.460,96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6615.04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Προμήθεια Έντυπου υλικού για εκλογές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6.182,05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817,95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6631.02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Προμήθεια υγειονομικού και φαρμακευτικού υλικού (αναλωσίμων εργαστηρίων, αιματολογικού αναλυτή, αντιδραστήρια, κλινικών φαρμάκων κλπ) Δημοτικών Ιατρείων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5.100,00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1.328,12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B20A53" w:rsidRDefault="00B20A53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3.771,88</w:t>
            </w:r>
          </w:p>
        </w:tc>
      </w:tr>
      <w:tr w:rsidR="004A6D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DBC" w:rsidRPr="004A6DBC" w:rsidRDefault="004A6DBC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lastRenderedPageBreak/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DBC" w:rsidRPr="004A6DBC" w:rsidRDefault="004A6D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6471.04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C" w:rsidRDefault="004A6DBC" w:rsidP="004A6D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Διοργάνωση Ετήσιου Μαθητικού Φεστιβάλ Πολιτισμού</w:t>
            </w:r>
          </w:p>
          <w:p w:rsidR="004A6DBC" w:rsidRPr="009B45BC" w:rsidRDefault="004A6D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C" w:rsidRPr="004A6DBC" w:rsidRDefault="004A6DBC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C" w:rsidRPr="004A6DBC" w:rsidRDefault="004A6DBC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3.199,35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DBC" w:rsidRPr="004A6DBC" w:rsidRDefault="004A6DBC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8.800,65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6631.07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Προμήθεια Αντιδραστηρίων βιοχημικού εργαστηρίου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472,00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B45BC" w:rsidRPr="00B20A53" w:rsidRDefault="00B20A53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4.528,00</w:t>
            </w:r>
          </w:p>
        </w:tc>
      </w:tr>
      <w:tr w:rsidR="00313BF6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F6" w:rsidRPr="00313BF6" w:rsidRDefault="00313BF6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15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F6" w:rsidRPr="00313BF6" w:rsidRDefault="00313BF6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6473.14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BF6" w:rsidRDefault="00313BF6" w:rsidP="00313B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Μεταφορές Μετακινήσεις διαφόρων κοινωνικών ομάδων σύμφωνα με τις ανάγκες των δράσεων της κοινωνικής υπηρεσίας - ΑΜΕΑ </w:t>
            </w:r>
          </w:p>
          <w:p w:rsidR="00313BF6" w:rsidRPr="009B45BC" w:rsidRDefault="00313BF6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BF6" w:rsidRPr="00313BF6" w:rsidRDefault="00313BF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BF6" w:rsidRPr="00313BF6" w:rsidRDefault="00313BF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1.372,20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BF6" w:rsidRPr="00313BF6" w:rsidRDefault="00313BF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13.627,80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9B45BC" w:rsidRDefault="009B45BC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9B45BC" w:rsidRDefault="009B45BC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6699.11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45BC">
              <w:rPr>
                <w:rFonts w:ascii="Calibri" w:hAnsi="Calibri" w:cs="Calibri"/>
                <w:color w:val="000000"/>
                <w:sz w:val="22"/>
                <w:szCs w:val="22"/>
              </w:rPr>
              <w:t>Τροφοδοσία εκλογικών τμημάτων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958,97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9B45BC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8.041,03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163972" w:rsidRDefault="00163972" w:rsidP="002321BF">
            <w:pPr>
              <w:jc w:val="center"/>
              <w:rPr>
                <w:rFonts w:ascii="Arial Greek" w:hAnsi="Arial Greek"/>
                <w:lang w:val="en-US"/>
              </w:rPr>
            </w:pPr>
            <w:r>
              <w:rPr>
                <w:rFonts w:ascii="Arial Greek" w:hAnsi="Arial Greek"/>
                <w:lang w:val="en-US"/>
              </w:rPr>
              <w:t>10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163972" w:rsidRDefault="00163972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7134.11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163972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972">
              <w:rPr>
                <w:rFonts w:ascii="Calibri" w:hAnsi="Calibri" w:cs="Calibri"/>
                <w:color w:val="000000"/>
                <w:sz w:val="22"/>
                <w:szCs w:val="22"/>
              </w:rPr>
              <w:t>Προμήθεια περιφερειακών Η/Υ 2014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163972" w:rsidRDefault="00163972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14.500,00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163972" w:rsidRDefault="00163972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5.421,98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163972" w:rsidRDefault="00163972" w:rsidP="00884F57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9.078,02</w:t>
            </w:r>
          </w:p>
        </w:tc>
      </w:tr>
      <w:tr w:rsidR="009B45BC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5BC" w:rsidRPr="009B45BC" w:rsidRDefault="00163972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45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5BC" w:rsidRPr="009B45BC" w:rsidRDefault="00163972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6661.10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163972" w:rsidP="001639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3972">
              <w:rPr>
                <w:rFonts w:ascii="Calibri" w:hAnsi="Calibri" w:cs="Calibri"/>
                <w:color w:val="000000"/>
                <w:sz w:val="22"/>
                <w:szCs w:val="22"/>
              </w:rPr>
              <w:t>Προμή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θεια διαφόρων  υλικών συντήρησης </w:t>
            </w:r>
            <w:r w:rsidRPr="001639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και επισκευής κτιρίων Δημοτικού Κοιμητηρίου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163972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1.051,21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163972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25,31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5BC" w:rsidRPr="009B45BC" w:rsidRDefault="00163972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1.025,90</w:t>
            </w:r>
          </w:p>
        </w:tc>
      </w:tr>
      <w:tr w:rsidR="00163972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972" w:rsidRPr="009B45BC" w:rsidRDefault="00464AA5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45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72" w:rsidRPr="009B45BC" w:rsidRDefault="00464AA5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6699.20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163972" w:rsidRDefault="00464AA5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4AA5">
              <w:rPr>
                <w:rFonts w:ascii="Calibri" w:hAnsi="Calibri" w:cs="Calibri"/>
                <w:color w:val="000000"/>
                <w:sz w:val="22"/>
                <w:szCs w:val="22"/>
              </w:rPr>
              <w:t>Προμήθεια υλικών για την αφή  καντηλιών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9B45BC" w:rsidRDefault="00464AA5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9B45BC" w:rsidRDefault="00464AA5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974,24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9B45BC" w:rsidRDefault="00464AA5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7.025,76</w:t>
            </w:r>
          </w:p>
        </w:tc>
      </w:tr>
      <w:tr w:rsidR="00163972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972" w:rsidRPr="009B45BC" w:rsidRDefault="00464AA5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20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972" w:rsidRPr="009B45BC" w:rsidRDefault="00464AA5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6263.05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163972" w:rsidRDefault="00464AA5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4AA5">
              <w:rPr>
                <w:rFonts w:ascii="Calibri" w:hAnsi="Calibri" w:cs="Calibri"/>
                <w:color w:val="000000"/>
                <w:sz w:val="22"/>
                <w:szCs w:val="22"/>
              </w:rPr>
              <w:t>Πλύσιμο και γρασάρισμα των οχημάτων του Δήμου ( συν 2013)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9B45BC" w:rsidRDefault="00464AA5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23.989,92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9B45BC" w:rsidRDefault="00464AA5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1.166,04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72" w:rsidRPr="009B45BC" w:rsidRDefault="00464AA5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22.823,88</w:t>
            </w:r>
          </w:p>
        </w:tc>
      </w:tr>
      <w:tr w:rsidR="00464AA5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AA5" w:rsidRPr="009B45BC" w:rsidRDefault="005B1403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20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A5" w:rsidRPr="009B45BC" w:rsidRDefault="005B1403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6634.05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163972" w:rsidRDefault="005B1403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1403">
              <w:rPr>
                <w:rFonts w:ascii="Calibri" w:hAnsi="Calibri" w:cs="Calibri"/>
                <w:color w:val="000000"/>
                <w:sz w:val="22"/>
                <w:szCs w:val="22"/>
              </w:rPr>
              <w:t>Προμήθεια σάκων απορριμμάτων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9B45BC" w:rsidRDefault="00D43F6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9B45BC" w:rsidRDefault="00D43F6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1.912,80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9B45BC" w:rsidRDefault="00D43F6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13.087,20</w:t>
            </w:r>
          </w:p>
        </w:tc>
      </w:tr>
      <w:tr w:rsidR="00464AA5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AA5" w:rsidRPr="009B45BC" w:rsidRDefault="00D43F66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20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AA5" w:rsidRPr="009B45BC" w:rsidRDefault="00D43F66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6662.09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163972" w:rsidRDefault="00D43F66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3F66">
              <w:rPr>
                <w:rFonts w:ascii="Calibri" w:hAnsi="Calibri" w:cs="Calibri"/>
                <w:color w:val="000000"/>
                <w:sz w:val="22"/>
                <w:szCs w:val="22"/>
              </w:rPr>
              <w:t>Προμήθεια ηλεκτρολογικού υλικού 2013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9B45BC" w:rsidRDefault="00D43F6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54.900,80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9B45BC" w:rsidRDefault="00D43F6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7.137,10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AA5" w:rsidRPr="009B45BC" w:rsidRDefault="00D43F66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47.763,70</w:t>
            </w:r>
          </w:p>
        </w:tc>
      </w:tr>
      <w:tr w:rsidR="00E41B74" w:rsidRPr="00D8720A" w:rsidTr="00D43F66">
        <w:trPr>
          <w:trHeight w:val="1080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B74" w:rsidRDefault="00E41B74" w:rsidP="002321BF">
            <w:pPr>
              <w:jc w:val="center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40</w:t>
            </w: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B74" w:rsidRDefault="00E41B74" w:rsidP="00884F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7111.05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B74" w:rsidRDefault="00E41B74" w:rsidP="00E41B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Απαλλοτρίωση ακινήτου στα Ο.Τ.118 και 121</w:t>
            </w:r>
          </w:p>
          <w:p w:rsidR="00E41B74" w:rsidRPr="00D43F66" w:rsidRDefault="00E41B74" w:rsidP="00F959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B74" w:rsidRDefault="00E41B74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280.000,00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B74" w:rsidRDefault="00E41B74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140.000,00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B74" w:rsidRDefault="00E41B74" w:rsidP="00884F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140.000,00</w:t>
            </w:r>
          </w:p>
        </w:tc>
      </w:tr>
      <w:tr w:rsidR="002321BF" w:rsidRPr="00AF1B7A" w:rsidTr="00ED3F9F">
        <w:trPr>
          <w:trHeight w:val="431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21BF" w:rsidRPr="00D958BD" w:rsidRDefault="002321BF" w:rsidP="005976CC">
            <w:pPr>
              <w:jc w:val="center"/>
              <w:rPr>
                <w:rFonts w:ascii="Arial Greek" w:hAnsi="Arial Greek"/>
              </w:rPr>
            </w:pPr>
          </w:p>
        </w:tc>
        <w:tc>
          <w:tcPr>
            <w:tcW w:w="8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BF" w:rsidRPr="00D958BD" w:rsidRDefault="002321BF" w:rsidP="005976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1BF" w:rsidRPr="00AF1B7A" w:rsidRDefault="002321BF" w:rsidP="005976CC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ΣΥΝΟΛΑ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F9F" w:rsidRPr="00ED3F9F" w:rsidRDefault="00827EE2" w:rsidP="00ED3F9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E41B74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E41B74">
              <w:rPr>
                <w:rFonts w:ascii="Arial" w:hAnsi="Arial" w:cs="Arial"/>
                <w:b/>
                <w:noProof/>
              </w:rPr>
              <w:t>1.145.520,37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1BF" w:rsidRPr="002321BF" w:rsidRDefault="00827EE2" w:rsidP="001C34CF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fldChar w:fldCharType="begin"/>
            </w:r>
            <w:r w:rsidR="00E41B74">
              <w:rPr>
                <w:rFonts w:ascii="Arial" w:hAnsi="Arial" w:cs="Arial"/>
                <w:b/>
                <w:lang w:val="en-US"/>
              </w:rPr>
              <w:instrText xml:space="preserve"> =SUM(ABOVE) </w:instrText>
            </w:r>
            <w:r>
              <w:rPr>
                <w:rFonts w:ascii="Arial" w:hAnsi="Arial" w:cs="Arial"/>
                <w:b/>
                <w:lang w:val="en-US"/>
              </w:rPr>
              <w:fldChar w:fldCharType="separate"/>
            </w:r>
            <w:r w:rsidR="00E41B74">
              <w:rPr>
                <w:rFonts w:ascii="Arial" w:hAnsi="Arial" w:cs="Arial"/>
                <w:b/>
                <w:noProof/>
                <w:lang w:val="en-US"/>
              </w:rPr>
              <w:t>279.680,98</w:t>
            </w:r>
            <w:r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1BF" w:rsidRPr="002321BF" w:rsidRDefault="00827EE2" w:rsidP="001631C3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fldChar w:fldCharType="begin"/>
            </w:r>
            <w:r w:rsidR="00E41B74">
              <w:rPr>
                <w:rFonts w:ascii="Arial" w:hAnsi="Arial" w:cs="Arial"/>
                <w:b/>
                <w:lang w:val="en-US"/>
              </w:rPr>
              <w:instrText xml:space="preserve"> =SUM(ABOVE) </w:instrText>
            </w:r>
            <w:r>
              <w:rPr>
                <w:rFonts w:ascii="Arial" w:hAnsi="Arial" w:cs="Arial"/>
                <w:b/>
                <w:lang w:val="en-US"/>
              </w:rPr>
              <w:fldChar w:fldCharType="separate"/>
            </w:r>
            <w:r w:rsidR="00E41B74">
              <w:rPr>
                <w:rFonts w:ascii="Arial" w:hAnsi="Arial" w:cs="Arial"/>
                <w:b/>
                <w:noProof/>
                <w:lang w:val="en-US"/>
              </w:rPr>
              <w:t>865.839,39</w:t>
            </w:r>
            <w:r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</w:tr>
    </w:tbl>
    <w:p w:rsidR="00226043" w:rsidRDefault="00226043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881A5A" w:rsidRDefault="00881A5A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13BF6" w:rsidRDefault="00313BF6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13BF6" w:rsidRDefault="00313BF6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13BF6" w:rsidRDefault="00313BF6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13BF6" w:rsidRDefault="00313BF6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13BF6" w:rsidRPr="00313BF6" w:rsidRDefault="00313BF6" w:rsidP="000311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F203D" w:rsidRDefault="007F203D" w:rsidP="0003111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92288">
        <w:rPr>
          <w:rFonts w:ascii="Arial" w:hAnsi="Arial" w:cs="Arial"/>
          <w:b/>
          <w:bCs/>
          <w:sz w:val="24"/>
          <w:szCs w:val="24"/>
        </w:rPr>
        <w:lastRenderedPageBreak/>
        <w:t>Β .   ΔΗΜΙΟΥΡΓΙΑ  ΝΕΩΝ ΚΩΔΙΚΩΝ ΕΞΟΔΩΝ</w:t>
      </w:r>
    </w:p>
    <w:p w:rsidR="00540324" w:rsidRDefault="00540324" w:rsidP="0003111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540324" w:rsidRPr="00692288" w:rsidRDefault="00540324" w:rsidP="0003111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7F203D" w:rsidRPr="00AF1B7A" w:rsidRDefault="007F203D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5724" w:type="pct"/>
        <w:tblInd w:w="-459" w:type="dxa"/>
        <w:tblLayout w:type="fixed"/>
        <w:tblLook w:val="04A0"/>
      </w:tblPr>
      <w:tblGrid>
        <w:gridCol w:w="85"/>
        <w:gridCol w:w="338"/>
        <w:gridCol w:w="502"/>
        <w:gridCol w:w="185"/>
        <w:gridCol w:w="304"/>
        <w:gridCol w:w="147"/>
        <w:gridCol w:w="957"/>
        <w:gridCol w:w="1448"/>
        <w:gridCol w:w="432"/>
        <w:gridCol w:w="987"/>
        <w:gridCol w:w="287"/>
        <w:gridCol w:w="697"/>
        <w:gridCol w:w="293"/>
        <w:gridCol w:w="572"/>
        <w:gridCol w:w="846"/>
        <w:gridCol w:w="104"/>
        <w:gridCol w:w="236"/>
        <w:gridCol w:w="228"/>
        <w:gridCol w:w="559"/>
        <w:gridCol w:w="247"/>
        <w:gridCol w:w="236"/>
        <w:gridCol w:w="644"/>
        <w:gridCol w:w="236"/>
        <w:gridCol w:w="62"/>
      </w:tblGrid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255"/>
        </w:trPr>
        <w:tc>
          <w:tcPr>
            <w:tcW w:w="6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13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ΠΕΡΙΓΡΑΦΗ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7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ΠΟΣΟ</w:t>
            </w:r>
          </w:p>
        </w:tc>
        <w:tc>
          <w:tcPr>
            <w:tcW w:w="6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  <w:tc>
          <w:tcPr>
            <w:tcW w:w="79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Π</w:t>
            </w:r>
            <w:r w:rsidRPr="00540324">
              <w:rPr>
                <w:rFonts w:ascii="Arial" w:hAnsi="Arial" w:cs="Arial"/>
                <w:b/>
                <w:bCs/>
                <w:sz w:val="18"/>
                <w:szCs w:val="18"/>
              </w:rPr>
              <w:t>ΑΡΑΤΗΡΗΣΕΙΣ</w:t>
            </w:r>
          </w:p>
        </w:tc>
        <w:tc>
          <w:tcPr>
            <w:tcW w:w="111" w:type="pct"/>
            <w:tcBorders>
              <w:left w:val="single" w:sz="4" w:space="0" w:color="auto"/>
            </w:tcBorders>
            <w:shd w:val="clear" w:color="auto" w:fill="auto"/>
          </w:tcPr>
          <w:p w:rsidR="00B20A53" w:rsidRPr="00AF1B7A" w:rsidRDefault="00B20A53" w:rsidP="00AF1B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330"/>
        </w:trPr>
        <w:tc>
          <w:tcPr>
            <w:tcW w:w="69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left w:val="single" w:sz="4" w:space="0" w:color="auto"/>
            </w:tcBorders>
            <w:shd w:val="clear" w:color="auto" w:fill="auto"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A53" w:rsidRPr="00534BF3" w:rsidRDefault="00B20A53" w:rsidP="0095474E">
            <w:p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  <w:r>
              <w:rPr>
                <w:rFonts w:ascii="Arial" w:hAnsi="Arial" w:cs="Arial"/>
                <w:color w:val="000000"/>
                <w:lang w:val="en-US"/>
              </w:rPr>
              <w:t>6142.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E17F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Ηχογράφηση </w:t>
            </w:r>
            <w:r w:rsidRPr="00E17F1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επεξεργασία,</w:t>
            </w:r>
            <w:r w:rsidRPr="00E17F1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πρακτικών ΔΣ</w:t>
            </w:r>
          </w:p>
          <w:p w:rsidR="00B20A53" w:rsidRPr="002321BF" w:rsidRDefault="00B20A53" w:rsidP="005976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E17F15" w:rsidRDefault="00B20A53" w:rsidP="004C4B9E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E17F15" w:rsidRDefault="00B20A53" w:rsidP="004C4B9E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28.342,40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E17F15" w:rsidRDefault="00B20A53" w:rsidP="004C4B9E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28.342,40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Default="00B20A53" w:rsidP="00540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Δημιουργία νέου ΚΑ για την ηχογράφηση και επεξεργασία των πρακτικών του Διοικητικού Συμβουλίου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A53" w:rsidRPr="00CD6F29" w:rsidRDefault="00B20A53" w:rsidP="001631C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6115.12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1631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Αμοιβή ορκωτών ελεγκτών λογιστών 2014</w:t>
            </w:r>
          </w:p>
          <w:p w:rsidR="00B20A53" w:rsidRDefault="00B20A53" w:rsidP="001631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4C4B9E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4C4B9E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12.000,00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4C4B9E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12.000,00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Default="00B20A53" w:rsidP="005403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Δημιουργία νέου ΚΑ για την ανάθεση του ελέγχου των οικονομικών καταστάσεων   έτους  2014 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A53" w:rsidRPr="00E2461C" w:rsidRDefault="00B20A53" w:rsidP="001631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15.6063.04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E24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Προμήθεια ειδών ατομικής προστασίας </w:t>
            </w:r>
          </w:p>
          <w:p w:rsidR="00B20A53" w:rsidRDefault="00B20A53" w:rsidP="001631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E2461C" w:rsidRDefault="00B20A53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E2461C" w:rsidRDefault="00B20A53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7.500,00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E2461C" w:rsidRDefault="00B20A53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7.500,00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Default="00B20A53" w:rsidP="004219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Δημιουργία νέου ΚΑ σύμφωνα με την  αρ.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42/14 Μελέτη Διεύθυνσης Περιβάλλοντος 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53" w:rsidRPr="00D8720A" w:rsidRDefault="00B20A53" w:rsidP="00D87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30.6662.41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72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Αναβάθμιση ανελκυστήρων </w:t>
            </w:r>
          </w:p>
          <w:p w:rsidR="00B20A53" w:rsidRDefault="00B20A53" w:rsidP="009B45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20A53" w:rsidRPr="00D8720A" w:rsidRDefault="00B20A53" w:rsidP="009B45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720A">
              <w:rPr>
                <w:rFonts w:ascii="Calibri" w:hAnsi="Calibri" w:cs="Calibri"/>
                <w:color w:val="000000"/>
                <w:sz w:val="22"/>
                <w:szCs w:val="22"/>
              </w:rPr>
              <w:t>σχολικών κτιρίων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D8720A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D8720A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24.600,00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D8720A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24.600,00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Default="00B20A53" w:rsidP="00822F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Δημιουργία νέου ΚΑ σύμφωνα με την  αρ.7/2014  Μελέτη της Τεχνικής Υπηρεσίας 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53" w:rsidRDefault="00B20A53" w:rsidP="00D87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30.6279.01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D8720A" w:rsidRDefault="00B20A53" w:rsidP="00D43F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Σύνδεση νέων  παροχών </w:t>
            </w:r>
            <w:r w:rsidRPr="00D43F66">
              <w:rPr>
                <w:rFonts w:ascii="Calibri" w:hAnsi="Calibri" w:cs="Calibri"/>
                <w:color w:val="000000"/>
                <w:sz w:val="22"/>
                <w:szCs w:val="22"/>
              </w:rPr>
              <w:t>ΕΥΠΑΠ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Default="00B20A53" w:rsidP="004219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Δημιουργία νέου ΚΑ σύμφωνα με το αρ.25789/14 έγγραφο της Τεχνικής Υπηρεσίας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53" w:rsidRDefault="00B20A53" w:rsidP="00D87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80.8223.05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D43F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Απόδοση φόρου εργολάβων 3%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Default="00B20A53" w:rsidP="004219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Ενίσχυση του ΚΑ σύμφωνα με το αρθ.1</w:t>
            </w:r>
            <w:r w:rsidRPr="00536C25">
              <w:rPr>
                <w:rFonts w:ascii="Arial" w:hAnsi="Arial" w:cs="Arial"/>
                <w:vertAlign w:val="superscript"/>
              </w:rPr>
              <w:t>ο</w:t>
            </w:r>
            <w:r>
              <w:rPr>
                <w:rFonts w:ascii="Arial" w:hAnsi="Arial" w:cs="Arial"/>
              </w:rPr>
              <w:t xml:space="preserve"> του Ν4252/14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9"/>
        </w:trPr>
        <w:tc>
          <w:tcPr>
            <w:tcW w:w="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53" w:rsidRDefault="00B20A53" w:rsidP="00D87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20.6262.04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D43F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Προμήθεια και τοποθέτηση σκιάστρων στο γκαράζ του Δήμου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12.000,00</w:t>
            </w: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Default="00B20A53" w:rsidP="009B45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12.000,00</w:t>
            </w:r>
          </w:p>
        </w:tc>
        <w:tc>
          <w:tcPr>
            <w:tcW w:w="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Pr="00D60C19" w:rsidRDefault="00B20A53" w:rsidP="00421900">
            <w:pPr>
              <w:rPr>
                <w:rFonts w:ascii="Arial" w:hAnsi="Arial" w:cs="Arial"/>
              </w:rPr>
            </w:pPr>
            <w:r w:rsidRPr="00D60C19">
              <w:rPr>
                <w:rFonts w:ascii="Arial" w:hAnsi="Arial" w:cs="Arial"/>
              </w:rPr>
              <w:t>Δημιουργείται  ο νέος Κ.Α 20.6262.04 με ισόποση μείωση του ΚΑ 20.6641.04 προκειμένου να καλύψει τις ανάγκες της Υπηρεσίας Καθαριότητας και Διαχείρισης Μηχανημάτων - Οχημάτων</w:t>
            </w:r>
          </w:p>
        </w:tc>
        <w:tc>
          <w:tcPr>
            <w:tcW w:w="111" w:type="pct"/>
            <w:tcBorders>
              <w:top w:val="nil"/>
              <w:left w:val="single" w:sz="4" w:space="0" w:color="auto"/>
            </w:tcBorders>
          </w:tcPr>
          <w:p w:rsidR="00B20A53" w:rsidRDefault="00B20A53" w:rsidP="004C4B9E">
            <w:pPr>
              <w:jc w:val="right"/>
              <w:rPr>
                <w:rFonts w:ascii="Arial" w:hAnsi="Arial" w:cs="Arial"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255"/>
        </w:trPr>
        <w:tc>
          <w:tcPr>
            <w:tcW w:w="6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0A53" w:rsidRPr="00AF1B7A" w:rsidRDefault="00B20A53" w:rsidP="007F203D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  <w:p w:rsidR="00B20A53" w:rsidRPr="00AF1B7A" w:rsidRDefault="00B20A53" w:rsidP="00AF1B7A">
            <w:r w:rsidRPr="00AF1B7A">
              <w:t> </w:t>
            </w:r>
          </w:p>
        </w:tc>
        <w:tc>
          <w:tcPr>
            <w:tcW w:w="13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AF1B7A" w:rsidRDefault="00B20A53" w:rsidP="006A0D9D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  ΣΥΝΟΛΑ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AF1B7A" w:rsidRDefault="00827EE2" w:rsidP="006A0D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B20A53"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 w:rsidR="00B20A53">
              <w:rPr>
                <w:rFonts w:ascii="Arial" w:hAnsi="Arial" w:cs="Arial"/>
                <w:noProof/>
              </w:rPr>
              <w:t>0,0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7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A72550" w:rsidRDefault="00827EE2" w:rsidP="006A0D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B20A53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B20A53">
              <w:rPr>
                <w:rFonts w:ascii="Arial" w:hAnsi="Arial" w:cs="Arial"/>
                <w:b/>
                <w:noProof/>
              </w:rPr>
              <w:t>109.442,4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A53" w:rsidRPr="00A72550" w:rsidRDefault="00827EE2" w:rsidP="006A0D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B20A53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B20A53">
              <w:rPr>
                <w:rFonts w:ascii="Arial" w:hAnsi="Arial" w:cs="Arial"/>
                <w:b/>
                <w:noProof/>
              </w:rPr>
              <w:t>109.442,4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79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53" w:rsidRDefault="00B20A53" w:rsidP="006A0D9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1" w:type="pct"/>
            <w:tcBorders>
              <w:left w:val="single" w:sz="4" w:space="0" w:color="auto"/>
            </w:tcBorders>
          </w:tcPr>
          <w:p w:rsidR="00B20A53" w:rsidRDefault="00B20A53" w:rsidP="006A0D9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20A53" w:rsidRPr="00AF1B7A" w:rsidTr="006659E3">
        <w:trPr>
          <w:gridBefore w:val="1"/>
          <w:gridAfter w:val="1"/>
          <w:wBefore w:w="40" w:type="pct"/>
          <w:wAfter w:w="29" w:type="pct"/>
          <w:trHeight w:val="70"/>
        </w:trPr>
        <w:tc>
          <w:tcPr>
            <w:tcW w:w="69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A53" w:rsidRPr="00AF1B7A" w:rsidRDefault="00B20A53" w:rsidP="00AF1B7A"/>
        </w:tc>
        <w:tc>
          <w:tcPr>
            <w:tcW w:w="133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</w:rPr>
            </w:pPr>
          </w:p>
        </w:tc>
        <w:tc>
          <w:tcPr>
            <w:tcW w:w="7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</w:rPr>
            </w:pPr>
          </w:p>
        </w:tc>
        <w:tc>
          <w:tcPr>
            <w:tcW w:w="66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A53" w:rsidRPr="00AF1B7A" w:rsidRDefault="00B20A53" w:rsidP="00AF1B7A">
            <w:pPr>
              <w:rPr>
                <w:rFonts w:ascii="Arial" w:hAnsi="Arial" w:cs="Arial"/>
              </w:rPr>
            </w:pPr>
          </w:p>
        </w:tc>
        <w:tc>
          <w:tcPr>
            <w:tcW w:w="79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53" w:rsidRPr="00AF1B7A" w:rsidRDefault="00B20A53" w:rsidP="00AF1B7A">
            <w:pPr>
              <w:rPr>
                <w:rFonts w:ascii="Arial" w:hAnsi="Arial" w:cs="Arial"/>
              </w:rPr>
            </w:pPr>
          </w:p>
        </w:tc>
        <w:tc>
          <w:tcPr>
            <w:tcW w:w="111" w:type="pct"/>
            <w:tcBorders>
              <w:left w:val="single" w:sz="4" w:space="0" w:color="auto"/>
            </w:tcBorders>
          </w:tcPr>
          <w:p w:rsidR="00B20A53" w:rsidRPr="00AF1B7A" w:rsidRDefault="00B20A53" w:rsidP="00AF1B7A">
            <w:pPr>
              <w:rPr>
                <w:rFonts w:ascii="Arial" w:hAnsi="Arial" w:cs="Arial"/>
              </w:rPr>
            </w:pPr>
          </w:p>
        </w:tc>
      </w:tr>
      <w:tr w:rsidR="00540324" w:rsidRPr="00AF1B7A" w:rsidTr="006659E3">
        <w:trPr>
          <w:gridBefore w:val="1"/>
          <w:gridAfter w:val="1"/>
          <w:wBefore w:w="40" w:type="pct"/>
          <w:wAfter w:w="29" w:type="pct"/>
          <w:trHeight w:val="230"/>
        </w:trPr>
        <w:tc>
          <w:tcPr>
            <w:tcW w:w="159" w:type="pct"/>
            <w:tcBorders>
              <w:top w:val="single" w:sz="4" w:space="0" w:color="auto"/>
            </w:tcBorders>
            <w:vAlign w:val="center"/>
            <w:hideMark/>
          </w:tcPr>
          <w:p w:rsidR="00540324" w:rsidRPr="00AF1B7A" w:rsidRDefault="00540324" w:rsidP="00AF1B7A">
            <w:pPr>
              <w:rPr>
                <w:rFonts w:ascii="Arial Greek" w:hAnsi="Arial Greek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</w:tcBorders>
            <w:vAlign w:val="center"/>
            <w:hideMark/>
          </w:tcPr>
          <w:p w:rsidR="00540324" w:rsidRPr="00AF1B7A" w:rsidRDefault="00540324" w:rsidP="00AF1B7A"/>
        </w:tc>
        <w:tc>
          <w:tcPr>
            <w:tcW w:w="1334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540324" w:rsidRPr="00AF1B7A" w:rsidRDefault="00540324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</w:tcBorders>
            <w:vAlign w:val="center"/>
            <w:hideMark/>
          </w:tcPr>
          <w:p w:rsidR="00540324" w:rsidRPr="00AF1B7A" w:rsidRDefault="00540324" w:rsidP="00AF1B7A">
            <w:pPr>
              <w:rPr>
                <w:rFonts w:ascii="Arial" w:hAnsi="Arial" w:cs="Arial"/>
              </w:rPr>
            </w:pPr>
          </w:p>
        </w:tc>
        <w:tc>
          <w:tcPr>
            <w:tcW w:w="735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540324" w:rsidRPr="00AF1B7A" w:rsidRDefault="00540324" w:rsidP="00AF1B7A">
            <w:pPr>
              <w:rPr>
                <w:rFonts w:ascii="Arial" w:hAnsi="Arial" w:cs="Arial"/>
              </w:rPr>
            </w:pPr>
          </w:p>
        </w:tc>
        <w:tc>
          <w:tcPr>
            <w:tcW w:w="665" w:type="pct"/>
            <w:gridSpan w:val="4"/>
            <w:tcBorders>
              <w:top w:val="single" w:sz="4" w:space="0" w:color="auto"/>
            </w:tcBorders>
            <w:vAlign w:val="center"/>
            <w:hideMark/>
          </w:tcPr>
          <w:p w:rsidR="00540324" w:rsidRPr="00AF1B7A" w:rsidRDefault="00540324" w:rsidP="00AF1B7A">
            <w:pPr>
              <w:rPr>
                <w:rFonts w:ascii="Arial" w:hAnsi="Arial" w:cs="Arial"/>
              </w:rPr>
            </w:pPr>
          </w:p>
        </w:tc>
        <w:tc>
          <w:tcPr>
            <w:tcW w:w="793" w:type="pct"/>
            <w:gridSpan w:val="4"/>
            <w:tcBorders>
              <w:top w:val="single" w:sz="4" w:space="0" w:color="auto"/>
            </w:tcBorders>
          </w:tcPr>
          <w:p w:rsidR="00540324" w:rsidRPr="00AF1B7A" w:rsidRDefault="00540324" w:rsidP="00AF1B7A">
            <w:pPr>
              <w:rPr>
                <w:rFonts w:ascii="Arial" w:hAnsi="Arial" w:cs="Arial"/>
              </w:rPr>
            </w:pPr>
          </w:p>
        </w:tc>
        <w:tc>
          <w:tcPr>
            <w:tcW w:w="111" w:type="pct"/>
          </w:tcPr>
          <w:p w:rsidR="00540324" w:rsidRPr="00AF1B7A" w:rsidRDefault="00540324" w:rsidP="00AF1B7A">
            <w:pPr>
              <w:rPr>
                <w:rFonts w:ascii="Arial" w:hAnsi="Arial" w:cs="Arial"/>
              </w:rPr>
            </w:pPr>
          </w:p>
        </w:tc>
      </w:tr>
      <w:tr w:rsidR="00FC2DAA" w:rsidRPr="00AF1B7A" w:rsidTr="006659E3">
        <w:trPr>
          <w:gridBefore w:val="1"/>
          <w:wBefore w:w="40" w:type="pct"/>
          <w:trHeight w:val="230"/>
        </w:trPr>
        <w:tc>
          <w:tcPr>
            <w:tcW w:w="4960" w:type="pct"/>
            <w:gridSpan w:val="23"/>
            <w:tcBorders>
              <w:top w:val="nil"/>
            </w:tcBorders>
            <w:vAlign w:val="center"/>
            <w:hideMark/>
          </w:tcPr>
          <w:p w:rsidR="00FC2DAA" w:rsidRPr="00F54702" w:rsidRDefault="00FC2DAA" w:rsidP="00AF1B7A">
            <w:pPr>
              <w:rPr>
                <w:rFonts w:ascii="Arial Greek" w:hAnsi="Arial Greek"/>
              </w:rPr>
            </w:pPr>
          </w:p>
          <w:p w:rsidR="00FC2DAA" w:rsidRPr="00F54702" w:rsidRDefault="00FC2DAA" w:rsidP="00AF1B7A">
            <w:pPr>
              <w:rPr>
                <w:rFonts w:ascii="Arial Greek" w:hAnsi="Arial Greek"/>
              </w:rPr>
            </w:pPr>
          </w:p>
          <w:p w:rsidR="00FC2DAA" w:rsidRDefault="00FC2DAA" w:rsidP="00AF1B7A">
            <w:pPr>
              <w:rPr>
                <w:rFonts w:ascii="Arial Greek" w:hAnsi="Arial Greek"/>
              </w:rPr>
            </w:pPr>
          </w:p>
          <w:p w:rsidR="00FC2DAA" w:rsidRDefault="00FC2DAA" w:rsidP="00AF1B7A">
            <w:pPr>
              <w:rPr>
                <w:rFonts w:ascii="Arial Greek" w:hAnsi="Arial Greek"/>
              </w:rPr>
            </w:pPr>
          </w:p>
          <w:p w:rsidR="00FC2DAA" w:rsidRDefault="00FC2DAA" w:rsidP="00AF1B7A">
            <w:pPr>
              <w:rPr>
                <w:rFonts w:ascii="Arial Greek" w:hAnsi="Arial Greek"/>
              </w:rPr>
            </w:pPr>
          </w:p>
          <w:p w:rsidR="00FC2DAA" w:rsidRPr="00F54702" w:rsidRDefault="00FC2DAA" w:rsidP="00AF1B7A">
            <w:pPr>
              <w:rPr>
                <w:rFonts w:ascii="Arial Greek" w:hAnsi="Arial Greek"/>
              </w:rPr>
            </w:pPr>
          </w:p>
          <w:p w:rsidR="00FC2DAA" w:rsidRPr="00D146FD" w:rsidRDefault="00FC2DAA" w:rsidP="00AF1B7A">
            <w:pPr>
              <w:rPr>
                <w:rFonts w:ascii="Arial Greek" w:hAnsi="Arial Greek"/>
                <w:b/>
                <w:sz w:val="24"/>
                <w:szCs w:val="24"/>
              </w:rPr>
            </w:pPr>
            <w:r w:rsidRPr="00D146FD">
              <w:rPr>
                <w:rFonts w:ascii="Arial Greek" w:hAnsi="Arial Greek"/>
                <w:b/>
                <w:sz w:val="24"/>
                <w:szCs w:val="24"/>
              </w:rPr>
              <w:t>Γ.  ΕΝΙΣΧΥΣΗ ΠΙΣΤΩΣΕΩΝ ΜΕ ΑΝΤΙΣΤΟΙΧΗ ΜΕΙΩΣΗ ΤΟΥ ΑΠΟΘΕΜΑΤΙΚΟΥ</w:t>
            </w:r>
          </w:p>
          <w:p w:rsidR="00FC2DAA" w:rsidRPr="00A976BB" w:rsidRDefault="00FC2DAA" w:rsidP="00A976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A976BB">
              <w:rPr>
                <w:rFonts w:ascii="Arial" w:hAnsi="Arial" w:cs="Arial"/>
                <w:sz w:val="24"/>
                <w:szCs w:val="24"/>
              </w:rPr>
              <w:t xml:space="preserve">Η ενίσχυση των παρακάτω πιστώσεων θεωρείται απαραίτητη  προκειμένου να τακτοποιηθούν ανάγκες που προέκυψαν κατά τη διάρκεια της χρήσης και να </w:t>
            </w:r>
            <w:r>
              <w:rPr>
                <w:rFonts w:ascii="Arial" w:hAnsi="Arial" w:cs="Arial"/>
                <w:sz w:val="24"/>
                <w:szCs w:val="24"/>
              </w:rPr>
              <w:t xml:space="preserve">για να </w:t>
            </w:r>
            <w:r w:rsidRPr="00A976BB">
              <w:rPr>
                <w:rFonts w:ascii="Arial" w:hAnsi="Arial" w:cs="Arial"/>
                <w:sz w:val="24"/>
                <w:szCs w:val="24"/>
              </w:rPr>
              <w:t xml:space="preserve"> εκδοθούν τα αντίστοιχα εντάλματα έτσι ώστε να μην παρακωλύεται η λειτουργία του Δήμου.</w:t>
            </w:r>
          </w:p>
          <w:p w:rsidR="00FC2DAA" w:rsidRPr="00A976BB" w:rsidRDefault="00FC2DAA" w:rsidP="00A976BB">
            <w:pPr>
              <w:jc w:val="both"/>
              <w:rPr>
                <w:rFonts w:ascii="Calibri" w:hAnsi="Calibri" w:cs="Calibri"/>
              </w:rPr>
            </w:pPr>
          </w:p>
          <w:p w:rsidR="00FC2DAA" w:rsidRPr="00F54702" w:rsidRDefault="00FC2DAA" w:rsidP="00AF1B7A">
            <w:pPr>
              <w:rPr>
                <w:rFonts w:ascii="Arial Greek" w:hAnsi="Arial Greek"/>
              </w:rPr>
            </w:pPr>
          </w:p>
          <w:p w:rsidR="00FC2DAA" w:rsidRPr="00F54702" w:rsidRDefault="00FC2DAA" w:rsidP="00AF1B7A">
            <w:pPr>
              <w:rPr>
                <w:rFonts w:ascii="Arial Greek" w:hAnsi="Arial Greek"/>
              </w:rPr>
            </w:pPr>
          </w:p>
        </w:tc>
      </w:tr>
      <w:tr w:rsidR="006659E3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6659E3" w:rsidRPr="00FE271D" w:rsidRDefault="006659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ΚΩΔΙΚΟΣ</w:t>
            </w:r>
          </w:p>
        </w:tc>
        <w:tc>
          <w:tcPr>
            <w:tcW w:w="1200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6659E3" w:rsidRPr="00FE271D" w:rsidRDefault="006659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F0E41" w:rsidRPr="00FE271D" w:rsidRDefault="008F0E41" w:rsidP="008F0E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ΛΟΓΑΡΙΑΣΜΟΥ</w:t>
            </w:r>
          </w:p>
          <w:p w:rsidR="006659E3" w:rsidRPr="00FE271D" w:rsidRDefault="006659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6659E3" w:rsidRPr="00FE271D" w:rsidRDefault="006659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6659E3" w:rsidRPr="00FE271D" w:rsidRDefault="006659E3" w:rsidP="00BF03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ΠΡΟΗΓΟΥΜ</w:t>
            </w:r>
            <w:r w:rsidR="00BF03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ΠΙΣΤΩΣΗ</w:t>
            </w:r>
          </w:p>
        </w:tc>
        <w:tc>
          <w:tcPr>
            <w:tcW w:w="601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6659E3" w:rsidRPr="00FE271D" w:rsidRDefault="006659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 ΕΝΙΣΧΥΣΗΣ</w:t>
            </w:r>
          </w:p>
        </w:tc>
        <w:tc>
          <w:tcPr>
            <w:tcW w:w="66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6659E3" w:rsidRPr="00FE271D" w:rsidRDefault="006659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ΤΕΛΙΚΗ ΠΙΣΤΩΣΗ</w:t>
            </w:r>
          </w:p>
        </w:tc>
        <w:tc>
          <w:tcPr>
            <w:tcW w:w="1200" w:type="pct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6659E3" w:rsidRDefault="006659E3" w:rsidP="00641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F0E41" w:rsidRDefault="008F0E41" w:rsidP="00641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F0E41" w:rsidRDefault="008F0E41" w:rsidP="00641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F0E41" w:rsidRDefault="008F0E41" w:rsidP="00641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8F0E41" w:rsidRPr="00FE271D" w:rsidRDefault="008F0E41" w:rsidP="00641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271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ΠΑΡΑΤΗΡΗΣΕΙΣ</w:t>
            </w:r>
          </w:p>
        </w:tc>
      </w:tr>
      <w:tr w:rsidR="00FC2DAA" w:rsidTr="006659E3">
        <w:trPr>
          <w:gridBefore w:val="1"/>
          <w:wBefore w:w="40" w:type="pct"/>
          <w:trHeight w:val="3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B31622" w:rsidRDefault="00FC2DAA" w:rsidP="00E23ACA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15.6741.03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AA" w:rsidRDefault="00FC2DAA" w:rsidP="00E23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Επίδομα Εγκεφαλικής Παράλυσης -Σπαστικά</w:t>
            </w:r>
          </w:p>
          <w:p w:rsidR="00FC2DAA" w:rsidRPr="00B31622" w:rsidRDefault="00FC2DAA" w:rsidP="00E23ACA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B31622" w:rsidRDefault="00FC2DAA" w:rsidP="00E23ACA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A4973" w:rsidRDefault="00FC2DAA" w:rsidP="00E23ACA">
            <w:pPr>
              <w:jc w:val="right"/>
              <w:rPr>
                <w:rFonts w:ascii="Arial" w:hAnsi="Arial" w:cs="Arial"/>
                <w:i/>
                <w:color w:val="000000"/>
              </w:rPr>
            </w:pPr>
            <w:r w:rsidRPr="001A4973">
              <w:rPr>
                <w:rFonts w:ascii="Arial" w:hAnsi="Arial" w:cs="Arial"/>
                <w:i/>
                <w:color w:val="000000"/>
              </w:rPr>
              <w:t>2.872,37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A4973" w:rsidRDefault="00FC2DAA" w:rsidP="00E23ACA">
            <w:pPr>
              <w:jc w:val="right"/>
              <w:rPr>
                <w:rFonts w:ascii="Arial" w:hAnsi="Arial" w:cs="Arial"/>
                <w:i/>
                <w:color w:val="000000"/>
              </w:rPr>
            </w:pPr>
            <w:r w:rsidRPr="001A4973">
              <w:rPr>
                <w:rFonts w:ascii="Arial" w:hAnsi="Arial" w:cs="Arial"/>
                <w:i/>
                <w:color w:val="000000"/>
              </w:rPr>
              <w:t>62.872,37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B31622" w:rsidRDefault="00FC2DAA" w:rsidP="00E23ACA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Ενίσχυση  ΚΑ για την καταβολή των προνιακών επιδομάτων Έγγραφο κοιν. υπηρεσιών και αρωγής  αρ.2852/14</w:t>
            </w:r>
          </w:p>
        </w:tc>
      </w:tr>
      <w:tr w:rsidR="00FC2DAA" w:rsidTr="006659E3">
        <w:trPr>
          <w:gridBefore w:val="1"/>
          <w:wBefore w:w="40" w:type="pct"/>
          <w:trHeight w:val="3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B31622" w:rsidRDefault="00FC2DAA" w:rsidP="00E23ACA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15.6741.07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E23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Επίδομα Ανασφάλιστων Παραπληγικών, Τετραπληγικών</w:t>
            </w:r>
          </w:p>
          <w:p w:rsidR="00FC2DAA" w:rsidRPr="00B31622" w:rsidRDefault="00FC2DAA" w:rsidP="00E23ACA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B31622" w:rsidRDefault="00FC2DAA" w:rsidP="00E23ACA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445.000,00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A4973" w:rsidRDefault="00FC2DAA" w:rsidP="00E23ACA">
            <w:pPr>
              <w:jc w:val="right"/>
              <w:rPr>
                <w:rFonts w:ascii="Arial" w:hAnsi="Arial" w:cs="Arial"/>
                <w:i/>
                <w:color w:val="000000"/>
              </w:rPr>
            </w:pPr>
            <w:r w:rsidRPr="001A4973">
              <w:rPr>
                <w:rFonts w:ascii="Arial" w:hAnsi="Arial" w:cs="Arial"/>
                <w:i/>
                <w:color w:val="000000"/>
              </w:rPr>
              <w:t>5.975,67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A4973" w:rsidRDefault="00FC2DAA" w:rsidP="00E23ACA">
            <w:pPr>
              <w:jc w:val="right"/>
              <w:rPr>
                <w:rFonts w:ascii="Arial" w:hAnsi="Arial" w:cs="Arial"/>
                <w:i/>
                <w:color w:val="000000"/>
              </w:rPr>
            </w:pPr>
            <w:r w:rsidRPr="001A4973">
              <w:rPr>
                <w:rFonts w:ascii="Arial" w:hAnsi="Arial" w:cs="Arial"/>
                <w:i/>
                <w:color w:val="000000"/>
              </w:rPr>
              <w:t>450.975,67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B31622" w:rsidRDefault="00FC2DAA" w:rsidP="00E23ACA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Ενίσχυση  ΚΑ για την καταβολή των προνιακών επιδομάτων Έγγραφο κοιν. υπηρεσιών και αρωγής  αρ.2852/14</w:t>
            </w:r>
          </w:p>
        </w:tc>
      </w:tr>
      <w:tr w:rsidR="00FC2DAA" w:rsidTr="006659E3">
        <w:trPr>
          <w:gridBefore w:val="1"/>
          <w:wBefore w:w="40" w:type="pct"/>
          <w:trHeight w:val="3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E73051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10.6271.01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DAA" w:rsidRDefault="00FC2DAA" w:rsidP="00E730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Δαπάνες ύδρευσης Δημοτικών κτιρίων</w:t>
            </w:r>
          </w:p>
          <w:p w:rsidR="00FC2DAA" w:rsidRDefault="00FC2DAA" w:rsidP="00FD431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E73051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E73051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E73051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FE271D" w:rsidRDefault="00FC2DAA" w:rsidP="000E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ΚΑ για να εκδοθούν εντάλματα προκειμένου να εξοφληθούν ληξιπρόθεσμοι λογαριασμοί για την ΕΥΔΑΠ</w:t>
            </w:r>
          </w:p>
        </w:tc>
      </w:tr>
      <w:tr w:rsidR="00FC2DAA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2274D9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45.6213.01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Ύδρευση παραγωγικής διαδικασίας.</w:t>
            </w:r>
          </w:p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74D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74D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74D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78350D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ΚΑ για να εκδοθούν εντάλματα προκειμένου να εξοφληθούν ληξιπρόθεσμοι λογαριασμοί για την ΕΥΔΑΠ</w:t>
            </w:r>
          </w:p>
        </w:tc>
      </w:tr>
      <w:tr w:rsidR="00FC2DAA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00.6726.02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Εργοδοτικές εισφορές βάση της ΙΔ1 του Ν4152/2103</w:t>
            </w:r>
          </w:p>
          <w:p w:rsidR="00FC2DAA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74D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120.618,48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74D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49.000,00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169.618,48</w:t>
            </w:r>
          </w:p>
          <w:p w:rsidR="00FC2DAA" w:rsidRPr="002274D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Default="00FC2DAA" w:rsidP="009B3F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Εργοδοτικές εισφορές βάση της ΙΔ1 του Ν4152/2103</w:t>
            </w:r>
          </w:p>
          <w:p w:rsidR="00FC2DAA" w:rsidRPr="0078350D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2DAA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D506B3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00.6116.01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D506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Αμοιβή Δικαστικών Επιμελητών</w:t>
            </w:r>
          </w:p>
          <w:p w:rsidR="00FC2DAA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D506B3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D506B3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21.437,12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D506B3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36.437,12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78350D" w:rsidRDefault="00FC2DAA" w:rsidP="009B3F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Έγγραφο Νομικής Υπηρεσίας 26077/14</w:t>
            </w:r>
          </w:p>
        </w:tc>
      </w:tr>
      <w:tr w:rsidR="00FC2DAA" w:rsidTr="006659E3">
        <w:trPr>
          <w:gridBefore w:val="1"/>
          <w:wBefore w:w="40" w:type="pct"/>
          <w:trHeight w:val="841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D506B3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30.6117.45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tbl>
            <w:tblPr>
              <w:tblW w:w="15375" w:type="dxa"/>
              <w:tblLayout w:type="fixed"/>
              <w:tblLook w:val="04A0"/>
            </w:tblPr>
            <w:tblGrid>
              <w:gridCol w:w="15"/>
              <w:gridCol w:w="2485"/>
              <w:gridCol w:w="11915"/>
              <w:gridCol w:w="960"/>
            </w:tblGrid>
            <w:tr w:rsidR="00FC2DAA" w:rsidTr="00E17F15">
              <w:trPr>
                <w:gridAfter w:val="2"/>
                <w:wAfter w:w="12875" w:type="dxa"/>
                <w:trHeight w:val="2190"/>
              </w:trPr>
              <w:tc>
                <w:tcPr>
                  <w:tcW w:w="2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2DAA" w:rsidRDefault="00FC2DA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Αποζημίωση ελεγκτών δόμησης για τον έλεγχο δόμησης του έργου "Κατασκευή Βρεφονηπιακού σταθμού στο Ο.Τ. 405"(σύμφωνα με ΦΕΚ 465/Β΄/24-2-212)</w:t>
                  </w:r>
                </w:p>
              </w:tc>
            </w:tr>
            <w:tr w:rsidR="00FC2DAA" w:rsidRPr="00D506B3" w:rsidTr="00E17F15">
              <w:trPr>
                <w:gridBefore w:val="1"/>
                <w:wBefore w:w="15" w:type="dxa"/>
                <w:trHeight w:val="300"/>
              </w:trPr>
              <w:tc>
                <w:tcPr>
                  <w:tcW w:w="14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2DAA" w:rsidRPr="00D506B3" w:rsidRDefault="00FC2DAA" w:rsidP="00D506B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DAA" w:rsidRPr="00D506B3" w:rsidRDefault="00FC2DAA" w:rsidP="00D506B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FC2DAA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D506B3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1.131,00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D506B3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 w:rsidP="00E17F1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  <w:p w:rsidR="00FC2DAA" w:rsidRPr="00C46EE5" w:rsidRDefault="00FC2DAA" w:rsidP="00E17F1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1.631,00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78350D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Έγγραφο Τεχνικής υπηρεσίας αρ.</w:t>
            </w:r>
            <w:r w:rsidR="008F0E4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πρωτ. 31414/14</w:t>
            </w:r>
          </w:p>
        </w:tc>
      </w:tr>
      <w:tr w:rsidR="00FC2DAA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CD6F29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>80.8152.02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CD6F2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Πάγια προκαταβολή</w:t>
            </w:r>
          </w:p>
          <w:p w:rsidR="00FC2DAA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CD6F2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CD6F2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6.000,00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CD6F2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12.000,00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78350D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Απαιτείται η ενίσχυση  του κωδικού λόγω αλλαγής υπολόγου.</w:t>
            </w:r>
          </w:p>
        </w:tc>
      </w:tr>
      <w:tr w:rsidR="00FC2DAA" w:rsidRPr="00936530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CD6F29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00.6492.01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Δικαστικά έξοδα και εκτέλεση δικαστικών αποφάσεων ή συμβιβαστικών πράξεων (περιλαμβάνονται έξοδα πτωχ/σεων , κατασχέσεων εκκαθ/κώς,     σχολαζουσών  κληρ/ων, αποζημιώσεων, εργολάβων και προμηθευτών λόγω διαφυγόντος κέρδους, δαπάνες για χρέη κ.λ.π.)</w:t>
            </w:r>
          </w:p>
          <w:p w:rsidR="00FC2DAA" w:rsidRPr="00936530" w:rsidRDefault="00FC2DAA" w:rsidP="002274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36530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260.000,00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36530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36530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275.000,00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936530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Απόφαση του Μονομελούς Εφετείου Αθηνών 3204/14</w:t>
            </w:r>
          </w:p>
        </w:tc>
      </w:tr>
      <w:tr w:rsidR="00FC2DAA" w:rsidRPr="00936530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00.6823.01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Τόκοι εκ λοιπών χρεών σε εκτέλεση δικαστικών αποφάσεων</w:t>
            </w:r>
          </w:p>
          <w:p w:rsidR="00FC2DAA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36530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36530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AD2941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80.000,00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936530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Απόφαση του Μονομελούς Εφετείου Αθηνών 3204/14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6D4294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00.6721.01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444D9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Εισφορά υπέρ Ειδικού Διαβαθμικού </w:t>
            </w:r>
            <w:r w:rsidRPr="006D42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Συνδέσμου Νομού Αττικής</w:t>
            </w:r>
          </w:p>
          <w:p w:rsidR="00FC2DAA" w:rsidRPr="00444D9F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1.210.000,00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 w:rsidP="00260B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30.011,74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60B75" w:rsidRDefault="00FC2DAA" w:rsidP="00260B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240.011,74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6D4294" w:rsidRDefault="00FC2DAA" w:rsidP="006D42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Εισφορά ΕΔΣΝΑ για  το έτος 2012 σύμφωνα με την απόφαση 12/13 της Περιφέρειας Αττικής ΑΔΑ </w:t>
            </w:r>
            <w:r w:rsidRPr="006D4294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ΒΛ0ΖΟΡ05-706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444D9F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20.6063.04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2608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Προμήθεια ειδών ατομικής προστασίας 2014</w:t>
            </w:r>
          </w:p>
          <w:p w:rsidR="00FC2DAA" w:rsidRPr="00444D9F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Μελέτη Διεύθυνσης Περιβάλλοντος 42/14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444D9F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10.6063.04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1154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Προμήθεια ειδών ατομικής προστασίας</w:t>
            </w:r>
          </w:p>
          <w:p w:rsidR="00FC2DAA" w:rsidRPr="00444D9F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Μελέτη Διεύθυνσης Περιβάλλοντος 42/14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444D9F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30.6063.04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E2461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Προμήθεια ειδών ατομικής προστασίας </w:t>
            </w:r>
          </w:p>
          <w:p w:rsidR="00FC2DAA" w:rsidRPr="00444D9F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6.750,00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6.750,00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Μελέτη Διεύθυνσης Περιβάλλοντος 42/14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444D9F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35.6063.04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2012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Προμήθεια ειδών ατομικής προστασίας </w:t>
            </w:r>
          </w:p>
          <w:p w:rsidR="00FC2DAA" w:rsidRPr="00444D9F" w:rsidRDefault="00FC2DAA" w:rsidP="009365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11.250,00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11.250,00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Μελέτη Διεύθυνσης Περιβάλλοντος 42/14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45.6063.04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A66A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Προμήθεια ειδών ατομικής προστασίας </w:t>
            </w:r>
          </w:p>
          <w:p w:rsidR="00FC2DAA" w:rsidRDefault="00FC2DAA" w:rsidP="002012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Μελέτη Διεύθυνσης Περιβάλλοντος 42/14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70.6063.04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2F5C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Προμήθεια ειδών ατομικής προστασίας </w:t>
            </w:r>
          </w:p>
          <w:p w:rsidR="00FC2DAA" w:rsidRDefault="00FC2DAA" w:rsidP="002012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Μελέτη Διεύθυνσης Περιβάλλοντος 42/14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40.6232.01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Μισθώματα κτιρίων Πολεοδομίας</w:t>
            </w:r>
          </w:p>
          <w:p w:rsidR="00FC2DAA" w:rsidRDefault="00FC2DAA" w:rsidP="002F5C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101.768,00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50.884,00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152.652,00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Ενισχύεται ο ΚΑ προκειμένου να πληρωθούν τα μισθώματα  της Πολεοδομίας βάση της Χρηματικής εντολής του ΥΠΕΣ αρ.30589/14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15.6232.01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012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Μισθώματα κτιρίων Πρόνοιας</w:t>
            </w:r>
          </w:p>
          <w:p w:rsidR="00FC2DAA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19.000,00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3.347,36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22.347,36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B3535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Ενισχύεται ο ΚΑ προκειμένου να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πληρωθούν τα μισθώματα  της Πρόνοιας  βάση της Χρηματικής εντολής του ΥΠΕΣ αρ.30589/14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>35.6022.01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αορίστου χρόνου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1.600,00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1.700,00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3.300,00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E23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Ενίσχυση  του ΚΑ για την κάλυψη υπερωριών  της υπηρεσίας πρασίνου 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E23AC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35.6012.01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13.800,00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12.000,00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25.800,00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E23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 της υπηρεσίας πρασίνου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20.6042.01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ορισμένου χρόνου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1.500,00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31.500,00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 της υπηρεσίας καθαριότητας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70.6012.01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1.300,00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1.300,00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 της υπηρεσίας πολιτικής προστασίας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70.6051.06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</w:rPr>
              <w:t>Εργοδοτική εισφορά υπέρ ΤΣΜΕΔΕ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3.800,00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500,00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4.300,00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 της υπηρεσίας πολιτικής προστασίας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45.6022.01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9521B4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υπερωριακή εργασία υπαλλήλων με σύμβαση αορίστου χρόνου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3.100,00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700,00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9521B4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521B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3.800,00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 της υπηρεσίας κοιμητηρίου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125275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35.6051.02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5275">
              <w:rPr>
                <w:rFonts w:ascii="Calibri" w:hAnsi="Calibri" w:cs="Calibri"/>
                <w:color w:val="000000"/>
                <w:sz w:val="22"/>
                <w:szCs w:val="22"/>
              </w:rPr>
              <w:t>Εισφορά υπέρ ΤΥΔΚΥ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25275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30.300,00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25275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1600,00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25275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31.900,00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της υπηρεσίας πρασίνου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1D3C87" w:rsidRDefault="00FC2DAA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35.6051.03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D3C87">
              <w:rPr>
                <w:rFonts w:ascii="Calibri" w:hAnsi="Calibri" w:cs="Calibri"/>
                <w:color w:val="000000"/>
                <w:sz w:val="22"/>
                <w:szCs w:val="22"/>
              </w:rPr>
              <w:t>Εισφορά υπέρ ΤΕΑΔΥ εργοδότη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D3C87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9.800,00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D3C87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380,00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1D3C87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10.180,00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 του ΚΑ για την κάλυψη υπερωριών  της υπηρεσίας πρασίνου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531529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30.6422.01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1D3C87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1529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έξοδα κίνησης μηχανικών 2012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53152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53152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6.480,00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531529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6.480,00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του ΚΑ για τις ανάγκες της  Δ/σης  Τεχνικών Υπηρεσιών  (12 υπάλληλοι * 45€ *12 μήνες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2206CE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10.6462.01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1D3C87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6CE">
              <w:rPr>
                <w:rFonts w:ascii="Calibri" w:hAnsi="Calibri" w:cs="Calibri"/>
                <w:color w:val="000000"/>
                <w:sz w:val="22"/>
                <w:szCs w:val="22"/>
              </w:rPr>
              <w:t>Δημοσίευση προκηρύξεων.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06CE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2206CE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 w:rsidP="008612C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C2DAA" w:rsidRPr="002206CE" w:rsidRDefault="00FC2DAA" w:rsidP="008612C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E23AC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Ενίσχυση ΚΑ για την δημοσίευση προκηρύξεων ,αποφάσεων ,διαγωνισμών κ.λ.π 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8612CC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00.6443.01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1D3C87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2CC">
              <w:rPr>
                <w:rFonts w:ascii="Calibri" w:hAnsi="Calibri" w:cs="Calibri"/>
                <w:color w:val="000000"/>
                <w:sz w:val="22"/>
                <w:szCs w:val="22"/>
              </w:rPr>
              <w:t>Επιδείξεις, δεξιώσεις, εορτές &amp; λοιπά θεάματα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8612CC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8612CC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8612CC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FE27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Ενίσχυση ΚΑ για τον εορτασμό της 28</w:t>
            </w:r>
            <w:r w:rsidRPr="00E23ACA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ης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Οκτωβρίου και λοιπών εκδηλώσεων έως  τέλος του 2014</w:t>
            </w:r>
          </w:p>
        </w:tc>
      </w:tr>
      <w:tr w:rsidR="00FC2DA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45.6634.02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DAA" w:rsidRPr="008612CC" w:rsidRDefault="00FC2DA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4B7A">
              <w:rPr>
                <w:rFonts w:ascii="Calibri" w:hAnsi="Calibri" w:cs="Calibri"/>
                <w:color w:val="000000"/>
                <w:sz w:val="22"/>
                <w:szCs w:val="22"/>
              </w:rPr>
              <w:t>Προμήθεια διαφόρων εργαλείων και υλικών καθαριότητας νεκροταφείου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Default="00FC2DA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Pr="00444D9F" w:rsidRDefault="00FC2DAA" w:rsidP="00CF2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Κρίνεται απαραίτητη η ενίσχυση του  ΚΑ για να προμηθευτεί με υλικά και εργαλεία το κοιμητήριο.</w:t>
            </w:r>
          </w:p>
        </w:tc>
      </w:tr>
      <w:tr w:rsidR="00A67F1A" w:rsidRPr="00444D9F" w:rsidTr="006659E3">
        <w:trPr>
          <w:gridBefore w:val="1"/>
          <w:wBefore w:w="40" w:type="pct"/>
          <w:trHeight w:val="6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1A" w:rsidRDefault="00A67F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80.8223.0</w:t>
            </w:r>
            <w:r w:rsidR="00536C2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1A" w:rsidRDefault="00536C25" w:rsidP="00A67F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Απόδοση Φόρου Προμηθευτών 4</w:t>
            </w:r>
            <w:r w:rsidR="00A67F1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  <w:p w:rsidR="00A67F1A" w:rsidRPr="00F84B7A" w:rsidRDefault="00A67F1A" w:rsidP="00E317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F1A" w:rsidRDefault="00536C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F1A" w:rsidRDefault="00A67F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13.000,00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F1A" w:rsidRDefault="00536C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48.000,00</w:t>
            </w:r>
          </w:p>
        </w:tc>
        <w:tc>
          <w:tcPr>
            <w:tcW w:w="1200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F1A" w:rsidRDefault="00536C25" w:rsidP="00CF253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Ενίσχυση ΚΑ για την απόδοση του φόρου προμηθευτών 4%</w:t>
            </w:r>
          </w:p>
        </w:tc>
      </w:tr>
      <w:tr w:rsidR="00FC2DAA" w:rsidTr="006659E3">
        <w:trPr>
          <w:gridBefore w:val="1"/>
          <w:wBefore w:w="40" w:type="pct"/>
          <w:trHeight w:val="300"/>
        </w:trPr>
        <w:tc>
          <w:tcPr>
            <w:tcW w:w="6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444D9F" w:rsidRDefault="00FC2D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653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0E3DB9" w:rsidRDefault="00FC2DA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E3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ΓΕΝΙΚΟ ΣΥΝΟΛΟ 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0E3DB9" w:rsidRDefault="00827EE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B20A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B20A53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2.541.917,48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0E3DB9" w:rsidRDefault="00827EE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B20A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B20A53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298.688,26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DAA" w:rsidRPr="000E3DB9" w:rsidRDefault="00827EE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B20A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B20A53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2.840.605,74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53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2DAA" w:rsidRDefault="00FC2DAA" w:rsidP="00FE271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DAA" w:rsidRDefault="00FC2DAA" w:rsidP="00FE271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2DAA" w:rsidRPr="00AF1B7A" w:rsidTr="006659E3">
        <w:trPr>
          <w:trHeight w:val="465"/>
        </w:trPr>
        <w:tc>
          <w:tcPr>
            <w:tcW w:w="5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88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B02F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2DAA" w:rsidRDefault="00FC2DAA" w:rsidP="00AF1B7A">
            <w:pPr>
              <w:rPr>
                <w:lang w:val="en-US"/>
              </w:rPr>
            </w:pPr>
          </w:p>
        </w:tc>
        <w:tc>
          <w:tcPr>
            <w:tcW w:w="67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2DAA" w:rsidRDefault="00FC2DAA" w:rsidP="00AF1B7A">
            <w:pPr>
              <w:rPr>
                <w:lang w:val="en-US"/>
              </w:rPr>
            </w:pPr>
          </w:p>
        </w:tc>
      </w:tr>
      <w:tr w:rsidR="00FC2DAA" w:rsidRPr="00AF1B7A" w:rsidTr="006659E3">
        <w:trPr>
          <w:trHeight w:val="660"/>
        </w:trPr>
        <w:tc>
          <w:tcPr>
            <w:tcW w:w="34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92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2DA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67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2DA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ΑΝΑΚΕΦΑΛΑΙΩΣΗ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Υπάρχον Αποθεματικό Κεφάλαιο :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B1625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6.271,90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130F07">
            <w:pPr>
              <w:ind w:right="-197"/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130F07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130F07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130F07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7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7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Ενίσχυση Αποθεματικού Κεφαλαίου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AF1B7A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BD6966" w:rsidRDefault="00FC2DAA" w:rsidP="00AF1B7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BD6966" w:rsidRDefault="00FC2DAA" w:rsidP="009D47C7">
            <w:pPr>
              <w:jc w:val="right"/>
              <w:rPr>
                <w:rFonts w:ascii="Arial" w:hAnsi="Arial" w:cs="Arial"/>
                <w:highlight w:val="yellow"/>
              </w:rPr>
            </w:pPr>
            <w:r w:rsidRPr="00BD6966">
              <w:rPr>
                <w:rFonts w:ascii="Arial" w:hAnsi="Arial" w:cs="Arial"/>
                <w:highlight w:val="yellow"/>
              </w:rPr>
              <w:t xml:space="preserve">      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9432EF">
            <w:pPr>
              <w:ind w:left="-236" w:right="-283"/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9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B20A53" w:rsidRDefault="00FC2DAA" w:rsidP="00AB5288">
            <w:pPr>
              <w:rPr>
                <w:rFonts w:ascii="Arial" w:hAnsi="Arial" w:cs="Arial"/>
              </w:rPr>
            </w:pPr>
            <w:r w:rsidRPr="00B20A53">
              <w:rPr>
                <w:rFonts w:ascii="Arial" w:hAnsi="Arial" w:cs="Arial"/>
                <w:lang w:val="en-US"/>
              </w:rPr>
              <w:t>1)</w:t>
            </w:r>
            <w:r w:rsidRPr="00B20A53">
              <w:rPr>
                <w:rFonts w:ascii="Arial" w:hAnsi="Arial" w:cs="Arial"/>
              </w:rPr>
              <w:t xml:space="preserve"> </w:t>
            </w:r>
            <w:r w:rsidRPr="00B20A53">
              <w:rPr>
                <w:rFonts w:ascii="Arial" w:hAnsi="Arial" w:cs="Arial"/>
                <w:lang w:val="en-US"/>
              </w:rPr>
              <w:t>A</w:t>
            </w:r>
            <w:r w:rsidRPr="00B20A53">
              <w:rPr>
                <w:rFonts w:ascii="Arial" w:hAnsi="Arial" w:cs="Arial"/>
              </w:rPr>
              <w:t>πό αύξηση εσόδων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B20A53" w:rsidRDefault="00E05E72" w:rsidP="00AF1B7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</w:t>
            </w:r>
            <w:r w:rsidR="00B20A53" w:rsidRPr="00B20A53">
              <w:rPr>
                <w:rFonts w:ascii="Arial" w:hAnsi="Arial" w:cs="Arial"/>
                <w:b/>
              </w:rPr>
              <w:t>.125,16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B20A53" w:rsidRDefault="00FC2DAA" w:rsidP="00AF1B7A">
            <w:pPr>
              <w:rPr>
                <w:rFonts w:ascii="Arial" w:hAnsi="Arial" w:cs="Arial"/>
              </w:rPr>
            </w:pPr>
            <w:r w:rsidRPr="00B20A53">
              <w:rPr>
                <w:rFonts w:ascii="Arial" w:hAnsi="Arial" w:cs="Arial"/>
              </w:rPr>
              <w:t>2) Από υπάρχουσες πιστώσεις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B20A53" w:rsidRDefault="005D65AD" w:rsidP="00B20A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  <w:r w:rsidR="00B20A53">
              <w:rPr>
                <w:rFonts w:ascii="Arial" w:hAnsi="Arial" w:cs="Arial"/>
              </w:rPr>
              <w:t>.680,98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F82FFF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C931EF">
              <w:rPr>
                <w:rFonts w:ascii="Arial" w:hAnsi="Arial" w:cs="Arial"/>
                <w:b/>
                <w:bCs/>
              </w:rPr>
              <w:t>Σύνολο Ενίσχυσης :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5D65AD" w:rsidP="00C931EF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410</w:t>
            </w:r>
            <w:r w:rsidR="00C931EF" w:rsidRPr="00C931EF">
              <w:rPr>
                <w:rFonts w:ascii="Arial" w:hAnsi="Arial" w:cs="Arial"/>
                <w:b/>
                <w:bCs/>
              </w:rPr>
              <w:t>.806,14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2DAA" w:rsidRPr="00C931EF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C931EF">
              <w:rPr>
                <w:rFonts w:ascii="Arial" w:hAnsi="Arial" w:cs="Arial"/>
                <w:b/>
                <w:bCs/>
              </w:rPr>
              <w:t>ΔΙΑΜΟΡΦΩΘΕΝ ΑΠΟΘΕΜΑΤΙΚΟ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5D65AD" w:rsidP="00AF1B7A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417</w:t>
            </w:r>
            <w:r w:rsidR="00C931EF" w:rsidRPr="00C931EF">
              <w:rPr>
                <w:rFonts w:ascii="Arial" w:hAnsi="Arial" w:cs="Arial"/>
                <w:b/>
                <w:bCs/>
              </w:rPr>
              <w:t>.078,04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C931EF">
              <w:rPr>
                <w:rFonts w:ascii="Arial" w:hAnsi="Arial" w:cs="Arial"/>
                <w:b/>
                <w:bCs/>
              </w:rPr>
              <w:t>Μείωση αποθεματικού κεφαλαίου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FC2DAA" w:rsidP="00AF1B7A">
            <w:pPr>
              <w:rPr>
                <w:rFonts w:ascii="Arial" w:hAnsi="Arial" w:cs="Arial"/>
              </w:rPr>
            </w:pPr>
            <w:r w:rsidRPr="00C931EF">
              <w:rPr>
                <w:rFonts w:ascii="Arial" w:hAnsi="Arial" w:cs="Arial"/>
              </w:rPr>
              <w:t>1) Για δημιουργία νέων κωδικών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C931EF" w:rsidRDefault="00C931EF" w:rsidP="00C931EF">
            <w:pPr>
              <w:jc w:val="right"/>
              <w:rPr>
                <w:rFonts w:ascii="Arial" w:hAnsi="Arial" w:cs="Arial"/>
              </w:rPr>
            </w:pPr>
            <w:r w:rsidRPr="00C931EF">
              <w:rPr>
                <w:rFonts w:ascii="Arial" w:hAnsi="Arial" w:cs="Arial"/>
              </w:rPr>
              <w:t>109.442,40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FC2DAA" w:rsidP="00AF1B7A">
            <w:pPr>
              <w:rPr>
                <w:rFonts w:ascii="Arial" w:hAnsi="Arial" w:cs="Arial"/>
              </w:rPr>
            </w:pPr>
            <w:r w:rsidRPr="005D65AD">
              <w:rPr>
                <w:rFonts w:ascii="Arial" w:hAnsi="Arial" w:cs="Arial"/>
              </w:rPr>
              <w:t>2) Για ενίσχυση πιστώσεων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C931EF" w:rsidP="00C931EF">
            <w:pPr>
              <w:jc w:val="right"/>
              <w:rPr>
                <w:rFonts w:ascii="Arial" w:hAnsi="Arial" w:cs="Arial"/>
              </w:rPr>
            </w:pPr>
            <w:r w:rsidRPr="005D65AD">
              <w:rPr>
                <w:rFonts w:ascii="Arial" w:hAnsi="Arial" w:cs="Arial"/>
              </w:rPr>
              <w:t>298.688,26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5D65AD">
              <w:rPr>
                <w:rFonts w:ascii="Arial" w:hAnsi="Arial" w:cs="Arial"/>
                <w:b/>
                <w:bCs/>
              </w:rPr>
              <w:t>Σύνολο Μείωσης :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C931EF" w:rsidP="00C931EF">
            <w:pPr>
              <w:jc w:val="center"/>
              <w:rPr>
                <w:rFonts w:ascii="Arial" w:hAnsi="Arial" w:cs="Arial"/>
                <w:b/>
                <w:bCs/>
              </w:rPr>
            </w:pPr>
            <w:r w:rsidRPr="005D65AD">
              <w:rPr>
                <w:rFonts w:ascii="Arial" w:hAnsi="Arial" w:cs="Arial"/>
                <w:b/>
                <w:bCs/>
              </w:rPr>
              <w:t xml:space="preserve">          408.130,66            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7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FC2DAA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FC2DAA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  <w:tr w:rsidR="00FC2DAA" w:rsidRPr="00AF1B7A" w:rsidTr="006659E3">
        <w:trPr>
          <w:trHeight w:val="255"/>
        </w:trPr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256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FC2DAA" w:rsidP="00AF1B7A">
            <w:pPr>
              <w:rPr>
                <w:rFonts w:ascii="Arial" w:hAnsi="Arial" w:cs="Arial"/>
                <w:b/>
                <w:bCs/>
              </w:rPr>
            </w:pPr>
            <w:r w:rsidRPr="005D65AD">
              <w:rPr>
                <w:rFonts w:ascii="Arial" w:hAnsi="Arial" w:cs="Arial"/>
                <w:b/>
                <w:bCs/>
              </w:rPr>
              <w:t>ΝΕΟ ΑΠΟΘΕΜΑΤΙΚΟ ΚΕΦΑΛΑΙΟ :</w:t>
            </w:r>
          </w:p>
        </w:tc>
        <w:tc>
          <w:tcPr>
            <w:tcW w:w="8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DAA" w:rsidRPr="005D65AD" w:rsidRDefault="005D65AD" w:rsidP="00A12079">
            <w:pPr>
              <w:jc w:val="right"/>
              <w:rPr>
                <w:rFonts w:ascii="Arial" w:hAnsi="Arial" w:cs="Arial"/>
                <w:b/>
                <w:bCs/>
              </w:rPr>
            </w:pPr>
            <w:r w:rsidRPr="005D65AD">
              <w:rPr>
                <w:rFonts w:ascii="Arial" w:hAnsi="Arial" w:cs="Arial"/>
                <w:b/>
                <w:bCs/>
              </w:rPr>
              <w:t>8.947,38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F91EA9" w:rsidRDefault="00FC2DAA" w:rsidP="00AF1B7A">
            <w:pPr>
              <w:jc w:val="right"/>
              <w:rPr>
                <w:rFonts w:ascii="Arial Greek" w:hAnsi="Arial Greek"/>
                <w:b/>
                <w:bCs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2DAA" w:rsidRPr="00AF1B7A" w:rsidRDefault="00FC2DAA" w:rsidP="00AF1B7A">
            <w:pPr>
              <w:rPr>
                <w:rFonts w:ascii="Arial Greek" w:hAnsi="Arial Greek"/>
              </w:rPr>
            </w:pPr>
          </w:p>
        </w:tc>
      </w:tr>
    </w:tbl>
    <w:p w:rsidR="00416374" w:rsidRDefault="00416374" w:rsidP="00416374">
      <w:pPr>
        <w:spacing w:line="360" w:lineRule="auto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94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4"/>
        <w:gridCol w:w="2011"/>
        <w:gridCol w:w="1502"/>
        <w:gridCol w:w="1698"/>
        <w:gridCol w:w="2273"/>
      </w:tblGrid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7F7789" w:rsidP="00F777EA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ΣΤΑΘΟΠΟΥΛΟΣ </w:t>
            </w:r>
            <w:r w:rsidR="00F777EA" w:rsidRPr="00F777EA">
              <w:rPr>
                <w:rFonts w:ascii="Calibri" w:hAnsi="Calibri" w:cs="Calibri"/>
                <w:sz w:val="18"/>
                <w:szCs w:val="18"/>
              </w:rPr>
              <w:t>Ι</w:t>
            </w:r>
            <w:r w:rsidRPr="00F777EA">
              <w:rPr>
                <w:rFonts w:ascii="Calibri" w:hAnsi="Calibri" w:cs="Calibri"/>
                <w:sz w:val="18"/>
                <w:szCs w:val="18"/>
              </w:rPr>
              <w:t>ΩΑΝΝΗΣ</w:t>
            </w: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</w:p>
        </w:tc>
      </w:tr>
      <w:tr w:rsidR="000E7942" w:rsidTr="00575429">
        <w:trPr>
          <w:gridAfter w:val="4"/>
          <w:wAfter w:w="7484" w:type="dxa"/>
          <w:trHeight w:val="25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E7942" w:rsidRDefault="000E7942" w:rsidP="000E79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16374" w:rsidRPr="009504B1" w:rsidRDefault="00416374" w:rsidP="00416374">
      <w:pPr>
        <w:spacing w:line="360" w:lineRule="auto"/>
        <w:jc w:val="both"/>
        <w:rPr>
          <w:rFonts w:ascii="Arial" w:hAnsi="Arial" w:cs="Arial"/>
        </w:rPr>
      </w:pPr>
    </w:p>
    <w:p w:rsidR="00416374" w:rsidRPr="009504B1" w:rsidRDefault="00416374" w:rsidP="00DE717D">
      <w:pPr>
        <w:spacing w:line="360" w:lineRule="auto"/>
        <w:jc w:val="both"/>
        <w:rPr>
          <w:rFonts w:ascii="Arial" w:hAnsi="Arial" w:cs="Arial"/>
        </w:rPr>
      </w:pPr>
    </w:p>
    <w:sectPr w:rsidR="00416374" w:rsidRPr="009504B1" w:rsidSect="00E449CC">
      <w:headerReference w:type="even" r:id="rId8"/>
      <w:footerReference w:type="default" r:id="rId9"/>
      <w:type w:val="nextColumn"/>
      <w:pgSz w:w="11907" w:h="16840" w:code="9"/>
      <w:pgMar w:top="709" w:right="1418" w:bottom="1276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29" w:rsidRDefault="00C77229">
      <w:r>
        <w:separator/>
      </w:r>
    </w:p>
  </w:endnote>
  <w:endnote w:type="continuationSeparator" w:id="0">
    <w:p w:rsidR="00C77229" w:rsidRDefault="00C77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E05E72" w:rsidRDefault="00827EE2">
        <w:pPr>
          <w:pStyle w:val="a9"/>
          <w:jc w:val="center"/>
        </w:pPr>
        <w:fldSimple w:instr=" PAGE   \* MERGEFORMAT ">
          <w:r w:rsidR="00303280">
            <w:rPr>
              <w:noProof/>
            </w:rPr>
            <w:t>1</w:t>
          </w:r>
        </w:fldSimple>
      </w:p>
    </w:sdtContent>
  </w:sdt>
  <w:p w:rsidR="00E05E72" w:rsidRDefault="00E05E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29" w:rsidRDefault="00C77229">
      <w:r>
        <w:separator/>
      </w:r>
    </w:p>
  </w:footnote>
  <w:footnote w:type="continuationSeparator" w:id="0">
    <w:p w:rsidR="00C77229" w:rsidRDefault="00C77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72" w:rsidRDefault="00827EE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05E7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5E72" w:rsidRDefault="00E05E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1"/>
  </w:num>
  <w:num w:numId="5">
    <w:abstractNumId w:val="3"/>
  </w:num>
  <w:num w:numId="6">
    <w:abstractNumId w:val="13"/>
  </w:num>
  <w:num w:numId="7">
    <w:abstractNumId w:val="14"/>
  </w:num>
  <w:num w:numId="8">
    <w:abstractNumId w:val="2"/>
  </w:num>
  <w:num w:numId="9">
    <w:abstractNumId w:val="7"/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560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E7B"/>
    <w:rsid w:val="00024E51"/>
    <w:rsid w:val="00027E7F"/>
    <w:rsid w:val="00031119"/>
    <w:rsid w:val="0003262A"/>
    <w:rsid w:val="00034105"/>
    <w:rsid w:val="00034E89"/>
    <w:rsid w:val="000469B9"/>
    <w:rsid w:val="00053593"/>
    <w:rsid w:val="00054BF6"/>
    <w:rsid w:val="00055907"/>
    <w:rsid w:val="00056F08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D6F"/>
    <w:rsid w:val="00080C83"/>
    <w:rsid w:val="00081034"/>
    <w:rsid w:val="000831AD"/>
    <w:rsid w:val="0008627F"/>
    <w:rsid w:val="00087423"/>
    <w:rsid w:val="00096EB8"/>
    <w:rsid w:val="000977D8"/>
    <w:rsid w:val="000A1B64"/>
    <w:rsid w:val="000A5F96"/>
    <w:rsid w:val="000B04AA"/>
    <w:rsid w:val="000B1D27"/>
    <w:rsid w:val="000B3466"/>
    <w:rsid w:val="000B53D6"/>
    <w:rsid w:val="000C1C2F"/>
    <w:rsid w:val="000C256D"/>
    <w:rsid w:val="000D25E1"/>
    <w:rsid w:val="000D38CC"/>
    <w:rsid w:val="000D448E"/>
    <w:rsid w:val="000D6842"/>
    <w:rsid w:val="000D7CC5"/>
    <w:rsid w:val="000E3DB9"/>
    <w:rsid w:val="000E4A24"/>
    <w:rsid w:val="000E4A72"/>
    <w:rsid w:val="000E7942"/>
    <w:rsid w:val="000F1B4A"/>
    <w:rsid w:val="000F2D90"/>
    <w:rsid w:val="000F5C85"/>
    <w:rsid w:val="000F66B1"/>
    <w:rsid w:val="000F713E"/>
    <w:rsid w:val="00102D71"/>
    <w:rsid w:val="00102DEA"/>
    <w:rsid w:val="00107BC7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6F7A"/>
    <w:rsid w:val="0014089F"/>
    <w:rsid w:val="00150A41"/>
    <w:rsid w:val="001517BD"/>
    <w:rsid w:val="00153E60"/>
    <w:rsid w:val="00154B7C"/>
    <w:rsid w:val="00155469"/>
    <w:rsid w:val="00157615"/>
    <w:rsid w:val="00160C9F"/>
    <w:rsid w:val="0016293B"/>
    <w:rsid w:val="001631C3"/>
    <w:rsid w:val="00163972"/>
    <w:rsid w:val="00163BAE"/>
    <w:rsid w:val="00163BC7"/>
    <w:rsid w:val="00170077"/>
    <w:rsid w:val="00171AA5"/>
    <w:rsid w:val="00172163"/>
    <w:rsid w:val="0017564A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2FE9"/>
    <w:rsid w:val="00194224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47D7"/>
    <w:rsid w:val="001E5076"/>
    <w:rsid w:val="001E7209"/>
    <w:rsid w:val="001E7F08"/>
    <w:rsid w:val="001F0ADB"/>
    <w:rsid w:val="001F50B5"/>
    <w:rsid w:val="001F71B3"/>
    <w:rsid w:val="001F7D9E"/>
    <w:rsid w:val="002004D2"/>
    <w:rsid w:val="00201299"/>
    <w:rsid w:val="00203692"/>
    <w:rsid w:val="00206680"/>
    <w:rsid w:val="00206793"/>
    <w:rsid w:val="00207011"/>
    <w:rsid w:val="00217BB7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DEF"/>
    <w:rsid w:val="00236064"/>
    <w:rsid w:val="00240EDB"/>
    <w:rsid w:val="002441D8"/>
    <w:rsid w:val="002467B5"/>
    <w:rsid w:val="00254453"/>
    <w:rsid w:val="002608C4"/>
    <w:rsid w:val="00260B75"/>
    <w:rsid w:val="00260F32"/>
    <w:rsid w:val="002626A4"/>
    <w:rsid w:val="0026334B"/>
    <w:rsid w:val="00264C4E"/>
    <w:rsid w:val="00266017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861"/>
    <w:rsid w:val="002B1A78"/>
    <w:rsid w:val="002B45ED"/>
    <w:rsid w:val="002C05B6"/>
    <w:rsid w:val="002C1B60"/>
    <w:rsid w:val="002C3DCF"/>
    <w:rsid w:val="002C4CBF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7BB5"/>
    <w:rsid w:val="00325BBD"/>
    <w:rsid w:val="00325DF6"/>
    <w:rsid w:val="0032762A"/>
    <w:rsid w:val="00331DF1"/>
    <w:rsid w:val="00340AC1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62DE4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87437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35E2"/>
    <w:rsid w:val="003C382F"/>
    <w:rsid w:val="003C38A5"/>
    <w:rsid w:val="003D2612"/>
    <w:rsid w:val="003D3178"/>
    <w:rsid w:val="003D534F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1900"/>
    <w:rsid w:val="00422125"/>
    <w:rsid w:val="004261A5"/>
    <w:rsid w:val="0043002B"/>
    <w:rsid w:val="004330AA"/>
    <w:rsid w:val="00435B23"/>
    <w:rsid w:val="00436C76"/>
    <w:rsid w:val="004375B0"/>
    <w:rsid w:val="00442DC1"/>
    <w:rsid w:val="00444D9F"/>
    <w:rsid w:val="00446782"/>
    <w:rsid w:val="00446D51"/>
    <w:rsid w:val="00450354"/>
    <w:rsid w:val="00454B3E"/>
    <w:rsid w:val="00457905"/>
    <w:rsid w:val="004613AD"/>
    <w:rsid w:val="00464AA5"/>
    <w:rsid w:val="00464FCC"/>
    <w:rsid w:val="00465CC6"/>
    <w:rsid w:val="00466065"/>
    <w:rsid w:val="00466AE4"/>
    <w:rsid w:val="00470AB6"/>
    <w:rsid w:val="00475B7C"/>
    <w:rsid w:val="00477BE0"/>
    <w:rsid w:val="0048211A"/>
    <w:rsid w:val="00482517"/>
    <w:rsid w:val="004828F9"/>
    <w:rsid w:val="00485315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96"/>
    <w:rsid w:val="004C2A9F"/>
    <w:rsid w:val="004C313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3A85"/>
    <w:rsid w:val="004F4447"/>
    <w:rsid w:val="005005F4"/>
    <w:rsid w:val="005006DE"/>
    <w:rsid w:val="0050115B"/>
    <w:rsid w:val="00504DEF"/>
    <w:rsid w:val="00510155"/>
    <w:rsid w:val="00510A1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C25"/>
    <w:rsid w:val="00540324"/>
    <w:rsid w:val="00542CCA"/>
    <w:rsid w:val="00543C89"/>
    <w:rsid w:val="005453FC"/>
    <w:rsid w:val="005466C7"/>
    <w:rsid w:val="0055223C"/>
    <w:rsid w:val="00554FB2"/>
    <w:rsid w:val="00556DA7"/>
    <w:rsid w:val="00561CE1"/>
    <w:rsid w:val="00561F2C"/>
    <w:rsid w:val="00563F71"/>
    <w:rsid w:val="005640C5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4DC8"/>
    <w:rsid w:val="00594FDC"/>
    <w:rsid w:val="005976CC"/>
    <w:rsid w:val="005A193C"/>
    <w:rsid w:val="005A2E2F"/>
    <w:rsid w:val="005A2FF5"/>
    <w:rsid w:val="005B1403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7AA6"/>
    <w:rsid w:val="005E7FE8"/>
    <w:rsid w:val="005F1244"/>
    <w:rsid w:val="005F17F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613"/>
    <w:rsid w:val="00620A4D"/>
    <w:rsid w:val="00624BB3"/>
    <w:rsid w:val="00627BD5"/>
    <w:rsid w:val="0063067F"/>
    <w:rsid w:val="00631608"/>
    <w:rsid w:val="00633764"/>
    <w:rsid w:val="0063622C"/>
    <w:rsid w:val="00636968"/>
    <w:rsid w:val="006372B3"/>
    <w:rsid w:val="006412C4"/>
    <w:rsid w:val="0065008B"/>
    <w:rsid w:val="006517C1"/>
    <w:rsid w:val="006562FB"/>
    <w:rsid w:val="00663452"/>
    <w:rsid w:val="00664E46"/>
    <w:rsid w:val="00665397"/>
    <w:rsid w:val="006659E3"/>
    <w:rsid w:val="006702A6"/>
    <w:rsid w:val="0067070F"/>
    <w:rsid w:val="00672C98"/>
    <w:rsid w:val="00673242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6A11"/>
    <w:rsid w:val="006A0107"/>
    <w:rsid w:val="006A0D9D"/>
    <w:rsid w:val="006A6A68"/>
    <w:rsid w:val="006A73B1"/>
    <w:rsid w:val="006B01B7"/>
    <w:rsid w:val="006B1958"/>
    <w:rsid w:val="006B2ACC"/>
    <w:rsid w:val="006B778A"/>
    <w:rsid w:val="006C1797"/>
    <w:rsid w:val="006C19CB"/>
    <w:rsid w:val="006C6843"/>
    <w:rsid w:val="006C6962"/>
    <w:rsid w:val="006D049F"/>
    <w:rsid w:val="006D0BFE"/>
    <w:rsid w:val="006D12CC"/>
    <w:rsid w:val="006D2EBE"/>
    <w:rsid w:val="006D4294"/>
    <w:rsid w:val="006D6479"/>
    <w:rsid w:val="006D6B09"/>
    <w:rsid w:val="006D72A0"/>
    <w:rsid w:val="006E3347"/>
    <w:rsid w:val="006E41E0"/>
    <w:rsid w:val="006E51F4"/>
    <w:rsid w:val="006E7110"/>
    <w:rsid w:val="006F5FE8"/>
    <w:rsid w:val="006F6A1D"/>
    <w:rsid w:val="006F7A06"/>
    <w:rsid w:val="006F7C99"/>
    <w:rsid w:val="006F7D3B"/>
    <w:rsid w:val="00702316"/>
    <w:rsid w:val="007050A5"/>
    <w:rsid w:val="00707277"/>
    <w:rsid w:val="00713EE9"/>
    <w:rsid w:val="00714A7F"/>
    <w:rsid w:val="00716056"/>
    <w:rsid w:val="00716C07"/>
    <w:rsid w:val="007200F5"/>
    <w:rsid w:val="007308E9"/>
    <w:rsid w:val="007324B0"/>
    <w:rsid w:val="00733BCE"/>
    <w:rsid w:val="0074067D"/>
    <w:rsid w:val="00740B88"/>
    <w:rsid w:val="00743B99"/>
    <w:rsid w:val="007477FD"/>
    <w:rsid w:val="0075506A"/>
    <w:rsid w:val="00760835"/>
    <w:rsid w:val="00764C7D"/>
    <w:rsid w:val="00766031"/>
    <w:rsid w:val="007825D3"/>
    <w:rsid w:val="0078350D"/>
    <w:rsid w:val="00785BAA"/>
    <w:rsid w:val="00786ADC"/>
    <w:rsid w:val="00787179"/>
    <w:rsid w:val="00796956"/>
    <w:rsid w:val="007973FC"/>
    <w:rsid w:val="007A0A10"/>
    <w:rsid w:val="007A1702"/>
    <w:rsid w:val="007A4E37"/>
    <w:rsid w:val="007A731A"/>
    <w:rsid w:val="007B0D71"/>
    <w:rsid w:val="007B31B4"/>
    <w:rsid w:val="007B3D4B"/>
    <w:rsid w:val="007B5BE7"/>
    <w:rsid w:val="007C5762"/>
    <w:rsid w:val="007C64BD"/>
    <w:rsid w:val="007C6DD0"/>
    <w:rsid w:val="007D14A0"/>
    <w:rsid w:val="007D1CAF"/>
    <w:rsid w:val="007D2C83"/>
    <w:rsid w:val="007D379B"/>
    <w:rsid w:val="007D5154"/>
    <w:rsid w:val="007D6F41"/>
    <w:rsid w:val="007E190F"/>
    <w:rsid w:val="007E1F42"/>
    <w:rsid w:val="007E29A7"/>
    <w:rsid w:val="007E2EA7"/>
    <w:rsid w:val="007E40F9"/>
    <w:rsid w:val="007E4141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12049"/>
    <w:rsid w:val="00813CB8"/>
    <w:rsid w:val="00814902"/>
    <w:rsid w:val="00815380"/>
    <w:rsid w:val="00822FE5"/>
    <w:rsid w:val="00823B83"/>
    <w:rsid w:val="00826264"/>
    <w:rsid w:val="00827EE2"/>
    <w:rsid w:val="00831FFD"/>
    <w:rsid w:val="00835098"/>
    <w:rsid w:val="00840DAD"/>
    <w:rsid w:val="00841C6B"/>
    <w:rsid w:val="00842488"/>
    <w:rsid w:val="00852910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EB7"/>
    <w:rsid w:val="008B5F21"/>
    <w:rsid w:val="008C0BC2"/>
    <w:rsid w:val="008C49CD"/>
    <w:rsid w:val="008C7590"/>
    <w:rsid w:val="008D0477"/>
    <w:rsid w:val="008D1212"/>
    <w:rsid w:val="008D6A56"/>
    <w:rsid w:val="008D6BE5"/>
    <w:rsid w:val="008D6CAB"/>
    <w:rsid w:val="008D7DC9"/>
    <w:rsid w:val="008E1EDE"/>
    <w:rsid w:val="008E2138"/>
    <w:rsid w:val="008E39F9"/>
    <w:rsid w:val="008F0E41"/>
    <w:rsid w:val="008F3B76"/>
    <w:rsid w:val="008F5562"/>
    <w:rsid w:val="008F5E3F"/>
    <w:rsid w:val="00901DC9"/>
    <w:rsid w:val="00903034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7E74"/>
    <w:rsid w:val="00940CD3"/>
    <w:rsid w:val="00942DA8"/>
    <w:rsid w:val="00943169"/>
    <w:rsid w:val="009432EF"/>
    <w:rsid w:val="00945490"/>
    <w:rsid w:val="009504B1"/>
    <w:rsid w:val="00951C52"/>
    <w:rsid w:val="009521B4"/>
    <w:rsid w:val="0095474E"/>
    <w:rsid w:val="00960D1C"/>
    <w:rsid w:val="00962648"/>
    <w:rsid w:val="0097147C"/>
    <w:rsid w:val="0097371B"/>
    <w:rsid w:val="009739F7"/>
    <w:rsid w:val="0097572A"/>
    <w:rsid w:val="00975D23"/>
    <w:rsid w:val="009832A9"/>
    <w:rsid w:val="009854F2"/>
    <w:rsid w:val="00991AB2"/>
    <w:rsid w:val="00991AF8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5BC"/>
    <w:rsid w:val="009B544D"/>
    <w:rsid w:val="009B6D9F"/>
    <w:rsid w:val="009C1EE9"/>
    <w:rsid w:val="009C20C3"/>
    <w:rsid w:val="009C4346"/>
    <w:rsid w:val="009C5CE1"/>
    <w:rsid w:val="009D3411"/>
    <w:rsid w:val="009D37C2"/>
    <w:rsid w:val="009D4397"/>
    <w:rsid w:val="009D47C7"/>
    <w:rsid w:val="009D6285"/>
    <w:rsid w:val="009D6410"/>
    <w:rsid w:val="009E12EC"/>
    <w:rsid w:val="009E343D"/>
    <w:rsid w:val="009E3B90"/>
    <w:rsid w:val="009E491C"/>
    <w:rsid w:val="009E6339"/>
    <w:rsid w:val="009E7902"/>
    <w:rsid w:val="009F261F"/>
    <w:rsid w:val="009F4522"/>
    <w:rsid w:val="009F7EDD"/>
    <w:rsid w:val="00A072EC"/>
    <w:rsid w:val="00A11A46"/>
    <w:rsid w:val="00A12079"/>
    <w:rsid w:val="00A15430"/>
    <w:rsid w:val="00A15C57"/>
    <w:rsid w:val="00A1718D"/>
    <w:rsid w:val="00A201F2"/>
    <w:rsid w:val="00A2067D"/>
    <w:rsid w:val="00A225DA"/>
    <w:rsid w:val="00A22EE3"/>
    <w:rsid w:val="00A242D1"/>
    <w:rsid w:val="00A278A1"/>
    <w:rsid w:val="00A32E9C"/>
    <w:rsid w:val="00A3522C"/>
    <w:rsid w:val="00A36960"/>
    <w:rsid w:val="00A37420"/>
    <w:rsid w:val="00A37A86"/>
    <w:rsid w:val="00A41B85"/>
    <w:rsid w:val="00A4244F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90405"/>
    <w:rsid w:val="00A90CDD"/>
    <w:rsid w:val="00A926F5"/>
    <w:rsid w:val="00A939B6"/>
    <w:rsid w:val="00A94871"/>
    <w:rsid w:val="00A96D67"/>
    <w:rsid w:val="00A976BB"/>
    <w:rsid w:val="00AA04C2"/>
    <w:rsid w:val="00AA3671"/>
    <w:rsid w:val="00AA3911"/>
    <w:rsid w:val="00AA3BB9"/>
    <w:rsid w:val="00AA5781"/>
    <w:rsid w:val="00AA6CF6"/>
    <w:rsid w:val="00AA7845"/>
    <w:rsid w:val="00AB01CD"/>
    <w:rsid w:val="00AB01DA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447F"/>
    <w:rsid w:val="00AC4BC9"/>
    <w:rsid w:val="00AD2941"/>
    <w:rsid w:val="00AD2DAD"/>
    <w:rsid w:val="00AD45C8"/>
    <w:rsid w:val="00AE0860"/>
    <w:rsid w:val="00AE4E24"/>
    <w:rsid w:val="00AE5F52"/>
    <w:rsid w:val="00AF1B7A"/>
    <w:rsid w:val="00AF2BCA"/>
    <w:rsid w:val="00AF322A"/>
    <w:rsid w:val="00AF6353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4FD0"/>
    <w:rsid w:val="00B35354"/>
    <w:rsid w:val="00B41E62"/>
    <w:rsid w:val="00B438A5"/>
    <w:rsid w:val="00B44271"/>
    <w:rsid w:val="00B45D8B"/>
    <w:rsid w:val="00B47392"/>
    <w:rsid w:val="00B5144D"/>
    <w:rsid w:val="00B54498"/>
    <w:rsid w:val="00B54A73"/>
    <w:rsid w:val="00B6472A"/>
    <w:rsid w:val="00B6609D"/>
    <w:rsid w:val="00B6798A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32B4"/>
    <w:rsid w:val="00B946D4"/>
    <w:rsid w:val="00B948E0"/>
    <w:rsid w:val="00B94B4F"/>
    <w:rsid w:val="00BA1493"/>
    <w:rsid w:val="00BA6086"/>
    <w:rsid w:val="00BA6B05"/>
    <w:rsid w:val="00BB1080"/>
    <w:rsid w:val="00BB1B15"/>
    <w:rsid w:val="00BB60DB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F0336"/>
    <w:rsid w:val="00BF27D8"/>
    <w:rsid w:val="00BF3451"/>
    <w:rsid w:val="00BF50F8"/>
    <w:rsid w:val="00BF63E9"/>
    <w:rsid w:val="00BF66A8"/>
    <w:rsid w:val="00BF75F2"/>
    <w:rsid w:val="00C0007D"/>
    <w:rsid w:val="00C005A7"/>
    <w:rsid w:val="00C00C82"/>
    <w:rsid w:val="00C01FFC"/>
    <w:rsid w:val="00C05613"/>
    <w:rsid w:val="00C0573E"/>
    <w:rsid w:val="00C0751A"/>
    <w:rsid w:val="00C12484"/>
    <w:rsid w:val="00C2046D"/>
    <w:rsid w:val="00C20FB0"/>
    <w:rsid w:val="00C250C1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4731"/>
    <w:rsid w:val="00C95E88"/>
    <w:rsid w:val="00CA1006"/>
    <w:rsid w:val="00CA3BA6"/>
    <w:rsid w:val="00CA772F"/>
    <w:rsid w:val="00CB396E"/>
    <w:rsid w:val="00CB584D"/>
    <w:rsid w:val="00CB58D9"/>
    <w:rsid w:val="00CB6253"/>
    <w:rsid w:val="00CB682B"/>
    <w:rsid w:val="00CB6885"/>
    <w:rsid w:val="00CC34BC"/>
    <w:rsid w:val="00CC4CB3"/>
    <w:rsid w:val="00CD2E0C"/>
    <w:rsid w:val="00CD4CD1"/>
    <w:rsid w:val="00CD6F29"/>
    <w:rsid w:val="00CE0614"/>
    <w:rsid w:val="00CE19DE"/>
    <w:rsid w:val="00CE504D"/>
    <w:rsid w:val="00CE621A"/>
    <w:rsid w:val="00CF101F"/>
    <w:rsid w:val="00CF2532"/>
    <w:rsid w:val="00CF39D7"/>
    <w:rsid w:val="00CF3C58"/>
    <w:rsid w:val="00CF557D"/>
    <w:rsid w:val="00CF5878"/>
    <w:rsid w:val="00D062F6"/>
    <w:rsid w:val="00D07A59"/>
    <w:rsid w:val="00D1143E"/>
    <w:rsid w:val="00D13B32"/>
    <w:rsid w:val="00D146FD"/>
    <w:rsid w:val="00D167E0"/>
    <w:rsid w:val="00D16D49"/>
    <w:rsid w:val="00D17C1F"/>
    <w:rsid w:val="00D218CB"/>
    <w:rsid w:val="00D22D5F"/>
    <w:rsid w:val="00D27047"/>
    <w:rsid w:val="00D36BE3"/>
    <w:rsid w:val="00D40090"/>
    <w:rsid w:val="00D43F66"/>
    <w:rsid w:val="00D506B3"/>
    <w:rsid w:val="00D50851"/>
    <w:rsid w:val="00D60C19"/>
    <w:rsid w:val="00D62A89"/>
    <w:rsid w:val="00D62CF0"/>
    <w:rsid w:val="00D7383F"/>
    <w:rsid w:val="00D75713"/>
    <w:rsid w:val="00D76F2B"/>
    <w:rsid w:val="00D77BC0"/>
    <w:rsid w:val="00D8173F"/>
    <w:rsid w:val="00D829BD"/>
    <w:rsid w:val="00D8720A"/>
    <w:rsid w:val="00D87C83"/>
    <w:rsid w:val="00D90217"/>
    <w:rsid w:val="00D93DBB"/>
    <w:rsid w:val="00D94D54"/>
    <w:rsid w:val="00D958BD"/>
    <w:rsid w:val="00D95CC6"/>
    <w:rsid w:val="00D96142"/>
    <w:rsid w:val="00D97299"/>
    <w:rsid w:val="00DA074C"/>
    <w:rsid w:val="00DA2945"/>
    <w:rsid w:val="00DA77EE"/>
    <w:rsid w:val="00DB0548"/>
    <w:rsid w:val="00DB184D"/>
    <w:rsid w:val="00DB4B62"/>
    <w:rsid w:val="00DB5731"/>
    <w:rsid w:val="00DB5A30"/>
    <w:rsid w:val="00DB7E3F"/>
    <w:rsid w:val="00DC40C5"/>
    <w:rsid w:val="00DC563C"/>
    <w:rsid w:val="00DC5EEB"/>
    <w:rsid w:val="00DC6805"/>
    <w:rsid w:val="00DD11C6"/>
    <w:rsid w:val="00DD1A97"/>
    <w:rsid w:val="00DD1B3C"/>
    <w:rsid w:val="00DD2DF5"/>
    <w:rsid w:val="00DD702F"/>
    <w:rsid w:val="00DD72C7"/>
    <w:rsid w:val="00DE0213"/>
    <w:rsid w:val="00DE0763"/>
    <w:rsid w:val="00DE2EA0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5854"/>
    <w:rsid w:val="00DF73A5"/>
    <w:rsid w:val="00E01F95"/>
    <w:rsid w:val="00E04E9C"/>
    <w:rsid w:val="00E05E72"/>
    <w:rsid w:val="00E06EB8"/>
    <w:rsid w:val="00E1187C"/>
    <w:rsid w:val="00E13BB7"/>
    <w:rsid w:val="00E15E34"/>
    <w:rsid w:val="00E1726C"/>
    <w:rsid w:val="00E17F15"/>
    <w:rsid w:val="00E20FAE"/>
    <w:rsid w:val="00E23771"/>
    <w:rsid w:val="00E23ACA"/>
    <w:rsid w:val="00E2461C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B74"/>
    <w:rsid w:val="00E44863"/>
    <w:rsid w:val="00E449CC"/>
    <w:rsid w:val="00E45AD7"/>
    <w:rsid w:val="00E51B86"/>
    <w:rsid w:val="00E52B26"/>
    <w:rsid w:val="00E60086"/>
    <w:rsid w:val="00E6417D"/>
    <w:rsid w:val="00E73051"/>
    <w:rsid w:val="00E7563A"/>
    <w:rsid w:val="00E75D46"/>
    <w:rsid w:val="00E86F5A"/>
    <w:rsid w:val="00E90416"/>
    <w:rsid w:val="00E92415"/>
    <w:rsid w:val="00E96AE3"/>
    <w:rsid w:val="00EA199A"/>
    <w:rsid w:val="00EA5843"/>
    <w:rsid w:val="00EB037C"/>
    <w:rsid w:val="00EB05AF"/>
    <w:rsid w:val="00EB1406"/>
    <w:rsid w:val="00EB28F2"/>
    <w:rsid w:val="00EB5E08"/>
    <w:rsid w:val="00EB79F1"/>
    <w:rsid w:val="00EC206D"/>
    <w:rsid w:val="00EC480D"/>
    <w:rsid w:val="00EC55AC"/>
    <w:rsid w:val="00EC7409"/>
    <w:rsid w:val="00EC7ECB"/>
    <w:rsid w:val="00ED3F9F"/>
    <w:rsid w:val="00ED48C8"/>
    <w:rsid w:val="00ED5F79"/>
    <w:rsid w:val="00EE2B5D"/>
    <w:rsid w:val="00EE2F2A"/>
    <w:rsid w:val="00EE4D7C"/>
    <w:rsid w:val="00EE7A9F"/>
    <w:rsid w:val="00EF1B1C"/>
    <w:rsid w:val="00EF4FF3"/>
    <w:rsid w:val="00EF7F89"/>
    <w:rsid w:val="00F00257"/>
    <w:rsid w:val="00F010E6"/>
    <w:rsid w:val="00F01453"/>
    <w:rsid w:val="00F03B06"/>
    <w:rsid w:val="00F13D5A"/>
    <w:rsid w:val="00F14B91"/>
    <w:rsid w:val="00F156BB"/>
    <w:rsid w:val="00F2092B"/>
    <w:rsid w:val="00F20E40"/>
    <w:rsid w:val="00F213E5"/>
    <w:rsid w:val="00F2575C"/>
    <w:rsid w:val="00F26CC3"/>
    <w:rsid w:val="00F26D84"/>
    <w:rsid w:val="00F274AC"/>
    <w:rsid w:val="00F31997"/>
    <w:rsid w:val="00F348EB"/>
    <w:rsid w:val="00F354BC"/>
    <w:rsid w:val="00F35E02"/>
    <w:rsid w:val="00F41061"/>
    <w:rsid w:val="00F432DD"/>
    <w:rsid w:val="00F436D9"/>
    <w:rsid w:val="00F539E2"/>
    <w:rsid w:val="00F54702"/>
    <w:rsid w:val="00F55266"/>
    <w:rsid w:val="00F570A6"/>
    <w:rsid w:val="00F62CE6"/>
    <w:rsid w:val="00F63EDB"/>
    <w:rsid w:val="00F70B11"/>
    <w:rsid w:val="00F769F1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63CE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D431E"/>
    <w:rsid w:val="00FE02DE"/>
    <w:rsid w:val="00FE18F5"/>
    <w:rsid w:val="00FE271D"/>
    <w:rsid w:val="00FE6A99"/>
    <w:rsid w:val="00FF2282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FC4ED-3223-4209-9CA9-565665B5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10</Pages>
  <Words>2571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kdou</cp:lastModifiedBy>
  <cp:revision>47</cp:revision>
  <cp:lastPrinted>2014-09-12T07:07:00Z</cp:lastPrinted>
  <dcterms:created xsi:type="dcterms:W3CDTF">2014-09-08T08:31:00Z</dcterms:created>
  <dcterms:modified xsi:type="dcterms:W3CDTF">2014-09-12T09:22:00Z</dcterms:modified>
</cp:coreProperties>
</file>